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OrgTitle"/>
        <w:bidi w:val="0"/>
        <w:spacing w:before="0" w:after="0"/>
        <w:rPr/>
      </w:pPr>
      <w:r>
        <w:rPr/>
        <w:fldChar w:fldCharType="begin"/>
      </w:r>
      <w:r>
        <w:rPr/>
        <w:instrText xml:space="preserve"> TITLE </w:instrText>
      </w:r>
      <w:r>
        <w:rPr/>
        <w:fldChar w:fldCharType="separate"/>
      </w:r>
      <w:r>
        <w:rPr/>
        <w:t>Modul 3: Livstabel og demografisk fortolkning</w:t>
      </w:r>
      <w:r>
        <w:rPr/>
        <w:fldChar w:fldCharType="end"/>
      </w:r>
    </w:p>
    <w:p>
      <w:pPr>
        <w:pStyle w:val="OrgTitle"/>
        <w:bidi w:val="0"/>
        <w:spacing w:before="0" w:after="0"/>
        <w:rPr/>
      </w:pPr>
      <w:r>
        <w:rPr/>
      </w:r>
    </w:p>
    <w:p>
      <w:pPr>
        <w:pStyle w:val="CourseCredentials"/>
        <w:bidi w:val="0"/>
        <w:jc w:val="center"/>
        <w:rPr/>
      </w:pPr>
      <w:r>
        <w:rPr/>
        <w:t xml:space="preserve">Demografi 3934-F26 </w:t>
        <w:br/>
        <w:t xml:space="preserve"> Folkesundhedsvidenskab, 2. semester </w:t>
      </w:r>
    </w:p>
    <w:p>
      <w:pPr>
        <w:pStyle w:val="Heading201unnumbered"/>
        <w:bidi w:val="0"/>
        <w:jc w:val="left"/>
        <w:outlineLvl w:val="0"/>
        <w:rPr/>
      </w:pPr>
      <w:bookmarkStart w:id="0" w:name="OrgXref.org780bc71"/>
      <w:bookmarkStart w:id="1" w:name="org780bc71"/>
      <w:bookmarkEnd w:id="1"/>
      <w:r>
        <w:rPr/>
        <w:t xml:space="preserve">Vejledning </w:t>
      </w:r>
      <w:bookmarkEnd w:id="0"/>
    </w:p>
    <w:p>
      <w:pPr>
        <w:pStyle w:val="BodyText"/>
        <w:bidi w:val="0"/>
        <w:spacing w:before="0" w:after="120"/>
        <w:jc w:val="left"/>
        <w:rPr/>
      </w:pPr>
      <w:r>
        <w:rPr>
          <w:rStyle w:val="Emphasis"/>
        </w:rPr>
        <w:t>I dette modul er fokus på fortolkning og forståelse af livstabel-metoden.</w:t>
      </w:r>
      <w:r>
        <w:rPr/>
        <w:t xml:space="preserve"> </w:t>
      </w:r>
      <w:r>
        <w:rPr>
          <w:rStyle w:val="Emphasis"/>
        </w:rPr>
        <w:t>R-koder er reduceret til et minimum – I skal kunne forklare hvad tallene betyder demografisk.</w:t>
      </w:r>
      <w:r>
        <w:rPr/>
        <w:t xml:space="preserve"> </w:t>
      </w:r>
      <w:r>
        <w:rPr>
          <w:rStyle w:val="Emphasis"/>
        </w:rPr>
        <w:t>Svar skal være præcise, velstrukturerede og skrevet i fulde sætninger.</w:t>
      </w:r>
      <w:r>
        <w:rPr/>
        <w:t xml:space="preserve"> </w:t>
      </w:r>
      <w:r>
        <w:rPr>
          <w:rStyle w:val="Emphasis"/>
        </w:rPr>
        <w:t>Angiv enheder og forklar forskelle mellem mål tydeligt.</w:t>
      </w:r>
      <w:r>
        <w:rPr/>
        <w:t xml:space="preserve"> </w:t>
      </w:r>
    </w:p>
    <w:p>
      <w:pPr>
        <w:pStyle w:val="PageBreak"/>
        <w:bidi w:val="0"/>
        <w:jc w:val="left"/>
        <w:rPr/>
      </w:pPr>
      <w:r>
        <w:rPr/>
      </w:r>
    </w:p>
    <w:p>
      <w:pPr>
        <w:pStyle w:val="Heading201unnumbered"/>
        <w:bidi w:val="0"/>
        <w:jc w:val="left"/>
        <w:outlineLvl w:val="0"/>
        <w:rPr/>
      </w:pPr>
      <w:bookmarkStart w:id="2" w:name="OrgXref.org7b5e2f8"/>
      <w:bookmarkStart w:id="3" w:name="org7b5e2f8"/>
      <w:bookmarkEnd w:id="3"/>
      <w:r>
        <w:rPr/>
        <w:t xml:space="preserve">Baggrund: Livslængde og dødelighed i Danmark </w:t>
      </w:r>
      <w:bookmarkEnd w:id="2"/>
    </w:p>
    <w:p>
      <w:pPr>
        <w:pStyle w:val="Baggrund"/>
        <w:shd w:fill="FFFFE0" w:val="clear"/>
        <w:bidi w:val="0"/>
        <w:spacing w:lineRule="auto" w:line="480" w:before="170" w:after="170"/>
        <w:ind w:left="170" w:right="170"/>
        <w:jc w:val="left"/>
        <w:rPr/>
      </w:pPr>
      <w:r>
        <w:rPr/>
        <w:t xml:space="preserve">I Danmark lever vi længere end nogensinde før. Ifølge den officielle statistik fra Danmarks Statistik er den gennemsnitlige forventede levetid ved fødsel for både mænd og kvinder omkring 80 år eller mere, når man ser på de seneste perioder med tilgængelige tal. Dette betyder, at et barn født i Danmark i dag i gennemsnit kan forvente at blive omkring 80 år, hvis dødeligheden i populationen forbliver på det nuværende niveau. Bag denne høje middellevetid ligger en række samfundsmæssige forbedringer, herunder bedre ernæring, sundhedspleje, forebyggelse og kontrol af mange smitsomme sygdomme, som tidligere var hyppige dødsårsager. Samtidig er sygdomsmønstret i Danmark ændret over tid mod kroniske, ikke-smitsomme sygdomme, som bliver de dominerende årsager til dødsfald. For eksempel udgør kræft og hjerte-kar-sygdomme en stor andel af de samlede dødsårsager i befolkningen. Begge disse sygdomsgrupper er tæt knyttet til livsstilsfaktorer som tobaksrygning, kost, fysisk aktivitet og alkoholforbrug, og de har stor betydning for både individuel og folkelig sundhed i befolkningen. Denne udvikling betyder, at de demografiske mål og metoder, som livstabeller og middellevetid, i stigende grad afspejler ændringer i aldersspecifik dødelighed fra kroniske sygdomme fremfor akutte infektionssygdomme. Forståelse af disse mønstre er derfor vigtig, når man tolker dødelighed og overlevelse i en moderne befolkning. </w:t>
      </w:r>
    </w:p>
    <w:p>
      <w:pPr>
        <w:pStyle w:val="PageBreak"/>
        <w:bidi w:val="0"/>
        <w:jc w:val="left"/>
        <w:rPr/>
      </w:pPr>
      <w:r>
        <w:rPr/>
      </w:r>
    </w:p>
    <w:p>
      <w:pPr>
        <w:pStyle w:val="Heading201unnumbered"/>
        <w:bidi w:val="0"/>
        <w:jc w:val="left"/>
        <w:outlineLvl w:val="0"/>
        <w:rPr/>
      </w:pPr>
      <w:bookmarkStart w:id="4" w:name="OrgXref.org3bbe6d4"/>
      <w:bookmarkStart w:id="5" w:name="org3bbe6d4"/>
      <w:bookmarkEnd w:id="5"/>
      <w:r>
        <w:rPr/>
        <w:t xml:space="preserve">Opgave 1 </w:t>
      </w:r>
      <w:bookmarkEnd w:id="4"/>
    </w:p>
    <w:p>
      <w:pPr>
        <w:pStyle w:val="BodyText"/>
        <w:numPr>
          <w:ilvl w:val="0"/>
          <w:numId w:val="3"/>
        </w:numPr>
        <w:tabs>
          <w:tab w:val="clear" w:pos="1134"/>
          <w:tab w:val="left" w:pos="890" w:leader="none"/>
        </w:tabs>
        <w:bidi w:val="0"/>
        <w:ind w:hanging="360" w:left="890"/>
        <w:jc w:val="left"/>
        <w:rPr/>
      </w:pPr>
      <w:r>
        <w:rPr/>
        <w:t xml:space="preserve">Angiv mindst en årsag til, hvorfor aldersspecifikke mortalitetsrater ikke var konstant de sidste 100 år i Danmark. </w:t>
      </w:r>
    </w:p>
    <w:p>
      <w:pPr>
        <w:pStyle w:val="BodyText"/>
        <w:numPr>
          <w:ilvl w:val="0"/>
          <w:numId w:val="4"/>
        </w:numPr>
        <w:tabs>
          <w:tab w:val="clear" w:pos="1134"/>
          <w:tab w:val="left" w:pos="890" w:leader="none"/>
        </w:tabs>
        <w:bidi w:val="0"/>
        <w:ind w:hanging="360" w:left="890"/>
        <w:jc w:val="left"/>
        <w:rPr/>
      </w:pPr>
      <w:r>
        <w:rPr/>
        <w:t xml:space="preserve">Beskriv mindst en grund til, hvorfor de Danske aldersspecifikke mortalitetsrater ikke ville være konstant de næste 100 år. </w:t>
      </w:r>
    </w:p>
    <w:p>
      <w:pPr>
        <w:pStyle w:val="BodyText"/>
        <w:numPr>
          <w:ilvl w:val="0"/>
          <w:numId w:val="5"/>
        </w:numPr>
        <w:tabs>
          <w:tab w:val="clear" w:pos="1134"/>
          <w:tab w:val="left" w:pos="890" w:leader="none"/>
        </w:tabs>
        <w:bidi w:val="0"/>
        <w:ind w:hanging="360" w:left="890"/>
        <w:jc w:val="left"/>
        <w:rPr/>
      </w:pPr>
      <w:r>
        <w:rPr/>
        <w:t xml:space="preserve">Hvilket tal i forlæsningsnoterne angiver middellevetid for en nyfødt dreng i 2020 under den forudsætning at mortalitetsraterne fra 2008/2009 for alle grupperinger af køn og alderstrin holder sig på samme niveau i al fremtid? </w:t>
      </w:r>
    </w:p>
    <w:p>
      <w:pPr>
        <w:pStyle w:val="BodyText"/>
        <w:numPr>
          <w:ilvl w:val="0"/>
          <w:numId w:val="6"/>
        </w:numPr>
        <w:tabs>
          <w:tab w:val="clear" w:pos="1134"/>
          <w:tab w:val="left" w:pos="890" w:leader="none"/>
        </w:tabs>
        <w:bidi w:val="0"/>
        <w:ind w:hanging="360" w:left="890"/>
        <w:jc w:val="left"/>
        <w:rPr/>
      </w:pPr>
      <w:r>
        <w:rPr/>
        <w:t xml:space="preserve">Under antagelsen at mortalitetsraterne ville følge samme kalendartidstrends som de sidste 12 år (se diagram i forlæsningsnoterne) også de næste 100 år, ville den forventede restlevetid for en 4-årig dreng i 2009 være mindre eller højere end 72,78 år (se forlæsningsnoterne)? </w:t>
      </w:r>
    </w:p>
    <w:p>
      <w:pPr>
        <w:pStyle w:val="BodyText"/>
        <w:numPr>
          <w:ilvl w:val="0"/>
          <w:numId w:val="7"/>
        </w:numPr>
        <w:tabs>
          <w:tab w:val="clear" w:pos="1134"/>
          <w:tab w:val="left" w:pos="890" w:leader="none"/>
        </w:tabs>
        <w:bidi w:val="0"/>
        <w:ind w:hanging="360" w:left="890"/>
        <w:jc w:val="left"/>
        <w:rPr/>
      </w:pPr>
      <w:r>
        <w:rPr/>
        <w:t xml:space="preserve">Hvorfor er det forkert at fortolke </w:t>
      </w:r>
      <w:r>
        <w:rPr>
          <w:rStyle w:val="OrgCode"/>
        </w:rPr>
        <w:t>65,9</w:t>
      </w:r>
      <w:r>
        <w:rPr/>
        <w:t xml:space="preserve"> (se forlæsningsnoterne) som den forventede tid, som en 11 årige dreng i 2008/2009 kan forvente at leve? </w:t>
      </w:r>
    </w:p>
    <w:p>
      <w:pPr>
        <w:pStyle w:val="Heading202unnumbered"/>
        <w:bidi w:val="0"/>
        <w:jc w:val="left"/>
        <w:outlineLvl w:val="1"/>
        <w:rPr/>
      </w:pPr>
      <w:bookmarkStart w:id="6" w:name="OrgXref.orgaaf7c33"/>
      <w:bookmarkStart w:id="7" w:name="orgaaf7c33"/>
      <w:bookmarkEnd w:id="7"/>
      <w:r>
        <w:rPr/>
        <w:t xml:space="preserve">Dine svar til opgave 1.1 </w:t>
      </w:r>
      <w:bookmarkEnd w:id="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8" w:name="OrgXref.orgc67034e"/>
      <w:bookmarkStart w:id="9" w:name="orgc67034e"/>
      <w:bookmarkEnd w:id="9"/>
      <w:r>
        <w:rPr/>
        <w:t xml:space="preserve">Dine svar til opgave 1.2 </w:t>
      </w:r>
      <w:bookmarkEnd w:id="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10" w:name="OrgXref.orgdd2e5f9"/>
      <w:bookmarkStart w:id="11" w:name="orgdd2e5f9"/>
      <w:bookmarkEnd w:id="11"/>
      <w:r>
        <w:rPr/>
        <w:t xml:space="preserve">Dine svar til opgave 1.3 </w:t>
      </w:r>
      <w:bookmarkEnd w:id="1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12" w:name="OrgXref.orgcf9ebff"/>
      <w:bookmarkStart w:id="13" w:name="orgcf9ebff"/>
      <w:bookmarkEnd w:id="13"/>
      <w:r>
        <w:rPr/>
        <w:t xml:space="preserve">Dine svar til opgave 1.4 </w:t>
      </w:r>
      <w:bookmarkEnd w:id="12"/>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14" w:name="OrgXref.orgf3ef722"/>
      <w:bookmarkStart w:id="15" w:name="orgf3ef722"/>
      <w:bookmarkEnd w:id="15"/>
      <w:r>
        <w:rPr/>
        <w:t xml:space="preserve">Dine svar til opgave 1.5 </w:t>
      </w:r>
      <w:bookmarkEnd w:id="1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6" w:name="OrgXref.org378c4ec"/>
      <w:bookmarkStart w:id="17" w:name="org378c4ec"/>
      <w:bookmarkEnd w:id="17"/>
      <w:r>
        <w:rPr/>
        <w:t xml:space="preserve">Opgave 2 </w:t>
      </w:r>
      <w:bookmarkEnd w:id="16"/>
    </w:p>
    <w:p>
      <w:pPr>
        <w:pStyle w:val="BodyText"/>
        <w:numPr>
          <w:ilvl w:val="0"/>
          <w:numId w:val="9"/>
        </w:numPr>
        <w:tabs>
          <w:tab w:val="clear" w:pos="1134"/>
          <w:tab w:val="left" w:pos="890" w:leader="none"/>
        </w:tabs>
        <w:bidi w:val="0"/>
        <w:ind w:hanging="360" w:left="890"/>
        <w:jc w:val="left"/>
        <w:rPr/>
      </w:pPr>
      <w:r>
        <w:rPr/>
        <w:t xml:space="preserve">Hvad er forskellen mellem </w:t>
      </w:r>
      <w:r>
        <w:rPr>
          <w:rStyle w:val="OrgCode"/>
        </w:rPr>
        <w:t>\(d_x\)</w:t>
      </w:r>
      <w:r>
        <w:rPr/>
        <w:t xml:space="preserve"> og </w:t>
      </w:r>
      <w:r>
        <w:rPr>
          <w:rStyle w:val="OrgCode"/>
        </w:rPr>
        <w:t>\(D_x\)</w:t>
      </w:r>
      <w:r>
        <w:rPr/>
        <w:t xml:space="preserve">? </w:t>
      </w:r>
    </w:p>
    <w:p>
      <w:pPr>
        <w:pStyle w:val="BodyText"/>
        <w:numPr>
          <w:ilvl w:val="0"/>
          <w:numId w:val="10"/>
        </w:numPr>
        <w:tabs>
          <w:tab w:val="clear" w:pos="1134"/>
          <w:tab w:val="left" w:pos="890" w:leader="none"/>
        </w:tabs>
        <w:bidi w:val="0"/>
        <w:ind w:hanging="360" w:left="890"/>
        <w:jc w:val="left"/>
        <w:rPr/>
      </w:pPr>
      <w:r>
        <w:rPr/>
        <w:t xml:space="preserve">Hvad er forskellen mellem </w:t>
      </w:r>
      <w:r>
        <w:rPr>
          <w:rStyle w:val="OrgCode"/>
        </w:rPr>
        <w:t>\(l_x\)</w:t>
      </w:r>
      <w:r>
        <w:rPr/>
        <w:t xml:space="preserve"> og </w:t>
      </w:r>
      <w:r>
        <w:rPr>
          <w:rStyle w:val="OrgCode"/>
        </w:rPr>
        <w:t>\(L_x\)</w:t>
      </w:r>
      <w:r>
        <w:rPr/>
        <w:t xml:space="preserve">? </w:t>
      </w:r>
    </w:p>
    <w:p>
      <w:pPr>
        <w:pStyle w:val="BodyText"/>
        <w:numPr>
          <w:ilvl w:val="0"/>
          <w:numId w:val="11"/>
        </w:numPr>
        <w:tabs>
          <w:tab w:val="clear" w:pos="1134"/>
          <w:tab w:val="left" w:pos="890" w:leader="none"/>
        </w:tabs>
        <w:bidi w:val="0"/>
        <w:ind w:hanging="360" w:left="890"/>
        <w:jc w:val="left"/>
        <w:rPr/>
      </w:pPr>
      <w:r>
        <w:rPr/>
        <w:t xml:space="preserve">Hvis </w:t>
      </w:r>
      <w:r>
        <w:rPr>
          <w:rStyle w:val="OrgCode"/>
        </w:rPr>
        <w:t>\(l_x\)</w:t>
      </w:r>
      <w:r>
        <w:rPr/>
        <w:t xml:space="preserve"> er 273 og </w:t>
      </w:r>
      <w:r>
        <w:rPr>
          <w:rStyle w:val="OrgCode"/>
        </w:rPr>
        <w:t>\(d_x\)</w:t>
      </w:r>
      <w:r>
        <w:rPr/>
        <w:t xml:space="preserve"> 17, hvad er så </w:t>
      </w:r>
      <w:r>
        <w:rPr>
          <w:rStyle w:val="OrgCode"/>
        </w:rPr>
        <w:t>\(l_{x+1}\)</w:t>
      </w:r>
      <w:r>
        <w:rPr/>
        <w:t xml:space="preserve">? </w:t>
      </w:r>
    </w:p>
    <w:p>
      <w:pPr>
        <w:pStyle w:val="BodyText"/>
        <w:numPr>
          <w:ilvl w:val="0"/>
          <w:numId w:val="12"/>
        </w:numPr>
        <w:tabs>
          <w:tab w:val="clear" w:pos="1134"/>
          <w:tab w:val="left" w:pos="890" w:leader="none"/>
        </w:tabs>
        <w:bidi w:val="0"/>
        <w:ind w:hanging="360" w:left="890"/>
        <w:jc w:val="left"/>
        <w:rPr/>
      </w:pPr>
      <w:r>
        <w:rPr/>
        <w:t xml:space="preserve">I formelsamling I står </w:t>
      </w:r>
      <w:r>
        <w:rPr>
          <w:rStyle w:val="OrgCode"/>
        </w:rPr>
        <w:t>\(l_{x+1} = l_x p_x\)</w:t>
      </w:r>
      <w:r>
        <w:rPr/>
        <w:t xml:space="preserve"> og </w:t>
      </w:r>
      <w:r>
        <w:rPr>
          <w:rStyle w:val="OrgCode"/>
        </w:rPr>
        <w:t>\(d_x = l_x q_x\)</w:t>
      </w:r>
      <w:r>
        <w:rPr/>
        <w:t xml:space="preserve">. Brug disse formler til at vise at der også gælder </w:t>
      </w:r>
      <w:r>
        <w:rPr>
          <w:rStyle w:val="OrgCode"/>
        </w:rPr>
        <w:t>\(l_{x+1} = l_x-d_x\)</w:t>
      </w:r>
      <w:r>
        <w:rPr/>
        <w:t xml:space="preserve">. Erstat </w:t>
      </w:r>
      <w:r>
        <w:rPr>
          <w:rStyle w:val="OrgCode"/>
        </w:rPr>
        <w:t>\(p_x\)</w:t>
      </w:r>
      <w:r>
        <w:rPr/>
        <w:t xml:space="preserve"> med </w:t>
      </w:r>
      <w:r>
        <w:rPr>
          <w:rStyle w:val="OrgCode"/>
        </w:rPr>
        <w:t>\((1-q_x)\)</w:t>
      </w:r>
      <w:r>
        <w:rPr/>
        <w:t xml:space="preserve"> i den første formel. Løs den anden formel sådan at </w:t>
      </w:r>
      <w:r>
        <w:rPr>
          <w:rStyle w:val="OrgCode"/>
        </w:rPr>
        <w:t>\(l_x\)</w:t>
      </w:r>
      <w:r>
        <w:rPr/>
        <w:t xml:space="preserve"> står alene. Sæt resultatet ind i den første formel og simplificer udtrykket. </w:t>
      </w:r>
    </w:p>
    <w:p>
      <w:pPr>
        <w:pStyle w:val="BodyText"/>
        <w:numPr>
          <w:ilvl w:val="0"/>
          <w:numId w:val="13"/>
        </w:numPr>
        <w:tabs>
          <w:tab w:val="clear" w:pos="1134"/>
          <w:tab w:val="left" w:pos="890" w:leader="none"/>
        </w:tabs>
        <w:bidi w:val="0"/>
        <w:ind w:hanging="360" w:left="890"/>
        <w:jc w:val="left"/>
        <w:rPr/>
      </w:pPr>
      <w:r>
        <w:rPr/>
        <w:t xml:space="preserve">Beregn og fortolke dødshyppigheden i tabellens sidste aldersinterval </w:t>
      </w:r>
      <w:r>
        <w:rPr>
          <w:rStyle w:val="OrgCode"/>
        </w:rPr>
        <w:t>$q_{x^{max}}$</w:t>
      </w:r>
      <w:r>
        <w:rPr/>
        <w:t xml:space="preserve">. I formlen for </w:t>
      </w:r>
      <w:r>
        <w:rPr>
          <w:rStyle w:val="OrgCode"/>
        </w:rPr>
        <w:t>\(q_x\)</w:t>
      </w:r>
      <w:r>
        <w:rPr/>
        <w:t xml:space="preserve"> på side 20 i forelæsningsnoterne erstat </w:t>
      </w:r>
      <w:r>
        <w:rPr>
          <w:rStyle w:val="OrgCode"/>
        </w:rPr>
        <w:t>\(a_x\)</w:t>
      </w:r>
      <w:r>
        <w:rPr/>
        <w:t xml:space="preserve"> med værdien for </w:t>
      </w:r>
      <w:r>
        <w:rPr>
          <w:rStyle w:val="OrgCode"/>
        </w:rPr>
        <w:t>$a_{x^{max}}$</w:t>
      </w:r>
      <w:r>
        <w:rPr/>
        <w:t xml:space="preserve"> som samme side angiver. Bagefter simplificer udtrykket. </w:t>
      </w:r>
    </w:p>
    <w:p>
      <w:pPr>
        <w:pStyle w:val="BodyText"/>
        <w:numPr>
          <w:ilvl w:val="0"/>
          <w:numId w:val="14"/>
        </w:numPr>
        <w:tabs>
          <w:tab w:val="clear" w:pos="1134"/>
          <w:tab w:val="left" w:pos="890" w:leader="none"/>
        </w:tabs>
        <w:bidi w:val="0"/>
        <w:ind w:hanging="360" w:left="890"/>
        <w:jc w:val="left"/>
        <w:rPr/>
      </w:pPr>
      <w:r>
        <w:rPr/>
        <w:t xml:space="preserve">Hvorfor sætter vi Chiang's a til 0,1 i det første interval og til 0,5 i de andre aldersintervaller? </w:t>
      </w:r>
    </w:p>
    <w:p>
      <w:pPr>
        <w:pStyle w:val="Heading202unnumbered"/>
        <w:bidi w:val="0"/>
        <w:jc w:val="left"/>
        <w:outlineLvl w:val="1"/>
        <w:rPr/>
      </w:pPr>
      <w:bookmarkStart w:id="18" w:name="OrgXref.orgc670537"/>
      <w:bookmarkStart w:id="19" w:name="orgc670537"/>
      <w:bookmarkEnd w:id="19"/>
      <w:r>
        <w:rPr/>
        <w:t xml:space="preserve">Dine svar til opgave 2.1 </w:t>
      </w:r>
      <w:bookmarkEnd w:id="1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20" w:name="OrgXref.orga32b206"/>
      <w:bookmarkStart w:id="21" w:name="orga32b206"/>
      <w:bookmarkEnd w:id="21"/>
      <w:r>
        <w:rPr/>
        <w:t xml:space="preserve">Dine svar til opgave 2.2 </w:t>
      </w:r>
      <w:bookmarkEnd w:id="2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22" w:name="OrgXref.orgd02ed2e"/>
      <w:bookmarkStart w:id="23" w:name="orgd02ed2e"/>
      <w:bookmarkEnd w:id="23"/>
      <w:r>
        <w:rPr/>
        <w:t xml:space="preserve">Dine svar til opgave 2.3 </w:t>
      </w:r>
      <w:bookmarkEnd w:id="22"/>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24" w:name="OrgXref.orgf063e14"/>
      <w:bookmarkStart w:id="25" w:name="orgf063e14"/>
      <w:bookmarkEnd w:id="25"/>
      <w:r>
        <w:rPr/>
        <w:t xml:space="preserve">Dine svar til opgave 2.4 </w:t>
      </w:r>
      <w:bookmarkEnd w:id="2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2unnumbered"/>
        <w:bidi w:val="0"/>
        <w:jc w:val="left"/>
        <w:outlineLvl w:val="1"/>
        <w:rPr/>
      </w:pPr>
      <w:bookmarkStart w:id="26" w:name="OrgXref.org31405c9"/>
      <w:bookmarkStart w:id="27" w:name="org31405c9"/>
      <w:bookmarkEnd w:id="27"/>
      <w:r>
        <w:rPr/>
        <w:t xml:space="preserve">Dine svar til opgave 2.5 </w:t>
      </w:r>
      <w:bookmarkEnd w:id="2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sectPr>
      <w:footerReference w:type="default" r:id="rId2"/>
      <w:type w:val="nextPage"/>
      <w:pgSz w:w="11906" w:h="16838"/>
      <w:pgMar w:left="1134" w:right="1134" w:gutter="0" w:header="0" w:top="1134" w:footer="1134" w:bottom="186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tinus Serif">
    <w:altName w:val="Linux Libertine O"/>
    <w:charset w:val="01"/>
    <w:family w:val="auto"/>
    <w:pitch w:val="default"/>
  </w:font>
  <w:font w:name="Courier New">
    <w:charset w:val="01"/>
    <w:family w:val="modern"/>
    <w:pitch w:val="fixed"/>
  </w:font>
  <w:font w:name="Arial">
    <w:charset w:val="01"/>
    <w:family w:val="swiss"/>
    <w:pitch w:val="variable"/>
  </w:font>
  <w:font w:name="Tahoma1">
    <w:charset w:val="01"/>
    <w:family w:val="auto"/>
    <w:pitch w:val="default"/>
  </w:font>
  <w:font w:name="Times New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left"/>
      <w:pPr>
        <w:tabs>
          <w:tab w:val="num" w:pos="0"/>
        </w:tabs>
        <w:ind w:left="432" w:hanging="432"/>
      </w:pPr>
    </w:lvl>
    <w:lvl w:ilvl="1">
      <w:start w:val="1"/>
      <w:pStyle w:val="Heading2"/>
      <w:numFmt w:val="none"/>
      <w:suff w:val="nothing"/>
      <w:lvlText w:val="%2"/>
      <w:lvlJc w:val="left"/>
      <w:pPr>
        <w:tabs>
          <w:tab w:val="num" w:pos="0"/>
        </w:tabs>
        <w:ind w:left="576" w:hanging="576"/>
      </w:pPr>
    </w:lvl>
    <w:lvl w:ilvl="2">
      <w:start w:val="1"/>
      <w:pStyle w:val="Heading3"/>
      <w:numFmt w:val="none"/>
      <w:suff w:val="nothing"/>
      <w:lvlText w:val="%3"/>
      <w:lvlJc w:val="left"/>
      <w:pPr>
        <w:tabs>
          <w:tab w:val="num" w:pos="0"/>
        </w:tabs>
        <w:ind w:left="720" w:hanging="720"/>
      </w:pPr>
    </w:lvl>
    <w:lvl w:ilvl="3">
      <w:start w:val="1"/>
      <w:pStyle w:val="Heading4"/>
      <w:numFmt w:val="none"/>
      <w:suff w:val="nothing"/>
      <w:lvlText w:val="%4"/>
      <w:lvlJc w:val="left"/>
      <w:pPr>
        <w:tabs>
          <w:tab w:val="num" w:pos="0"/>
        </w:tabs>
        <w:ind w:left="864" w:hanging="864"/>
      </w:pPr>
    </w:lvl>
    <w:lvl w:ilvl="4">
      <w:start w:val="1"/>
      <w:pStyle w:val="Heading5"/>
      <w:numFmt w:val="none"/>
      <w:suff w:val="nothing"/>
      <w:lvlText w:val="%5"/>
      <w:lvlJc w:val="left"/>
      <w:pPr>
        <w:tabs>
          <w:tab w:val="num" w:pos="0"/>
        </w:tabs>
        <w:ind w:left="1008" w:hanging="1008"/>
      </w:pPr>
    </w:lvl>
    <w:lvl w:ilvl="5">
      <w:start w:val="1"/>
      <w:pStyle w:val="Heading6"/>
      <w:numFmt w:val="none"/>
      <w:suff w:val="nothing"/>
      <w:lvlText w:val="%6"/>
      <w:lvlJc w:val="left"/>
      <w:pPr>
        <w:tabs>
          <w:tab w:val="num" w:pos="0"/>
        </w:tabs>
        <w:ind w:left="1152" w:hanging="1152"/>
      </w:pPr>
    </w:lvl>
    <w:lvl w:ilvl="6">
      <w:start w:val="1"/>
      <w:pStyle w:val="Heading7"/>
      <w:numFmt w:val="none"/>
      <w:suff w:val="nothing"/>
      <w:lvlText w:val="%7"/>
      <w:lvlJc w:val="left"/>
      <w:pPr>
        <w:tabs>
          <w:tab w:val="num" w:pos="0"/>
        </w:tabs>
        <w:ind w:left="1296" w:hanging="1296"/>
      </w:pPr>
    </w:lvl>
    <w:lvl w:ilvl="7">
      <w:start w:val="1"/>
      <w:pStyle w:val="Heading8"/>
      <w:numFmt w:val="none"/>
      <w:suff w:val="nothing"/>
      <w:lvlText w:val="%8"/>
      <w:lvlJc w:val="left"/>
      <w:pPr>
        <w:tabs>
          <w:tab w:val="num" w:pos="0"/>
        </w:tabs>
        <w:ind w:left="1440" w:hanging="1440"/>
      </w:pPr>
    </w:lvl>
    <w:lvl w:ilvl="8">
      <w:start w:val="1"/>
      <w:pStyle w:val="Heading9"/>
      <w:numFmt w:val="none"/>
      <w:suff w:val="nothing"/>
      <w:lvlText w:val="%9"/>
      <w:lvlJc w:val="left"/>
      <w:pPr>
        <w:tabs>
          <w:tab w:val="num" w:pos="0"/>
        </w:tabs>
        <w:ind w:left="1584" w:hanging="1584"/>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 w:numId="4">
    <w:abstractNumId w:val="2"/>
    <w:lvlOverride w:ilvl="0">
      <w:startOverride w:val="2"/>
    </w:lvlOverride>
  </w:num>
  <w:num w:numId="5">
    <w:abstractNumId w:val="2"/>
    <w:lvlOverride w:ilvl="0">
      <w:startOverride w:val="3"/>
    </w:lvlOverride>
  </w:num>
  <w:num w:numId="6">
    <w:abstractNumId w:val="2"/>
    <w:lvlOverride w:ilvl="0">
      <w:startOverride w:val="4"/>
    </w:lvlOverride>
  </w:num>
  <w:num w:numId="7">
    <w:abstractNumId w:val="2"/>
    <w:lvlOverride w:ilvl="0">
      <w:startOverride w:val="5"/>
    </w:lvlOverride>
  </w:num>
  <w:num w:numId="8">
    <w:abstractNumId w:val="8"/>
  </w:num>
  <w:num w:numId="9">
    <w:abstractNumId w:val="8"/>
    <w:lvlOverride w:ilvl="0">
      <w:startOverride w:val="1"/>
    </w:lvlOverride>
  </w:num>
  <w:num w:numId="10">
    <w:abstractNumId w:val="8"/>
    <w:lvlOverride w:ilvl="0">
      <w:startOverride w:val="2"/>
    </w:lvlOverride>
  </w:num>
  <w:num w:numId="11">
    <w:abstractNumId w:val="8"/>
    <w:lvlOverride w:ilvl="0">
      <w:startOverride w:val="3"/>
    </w:lvlOverride>
  </w:num>
  <w:num w:numId="12">
    <w:abstractNumId w:val="8"/>
    <w:lvlOverride w:ilvl="0">
      <w:startOverride w:val="4"/>
    </w:lvlOverride>
  </w:num>
  <w:num w:numId="13">
    <w:abstractNumId w:val="8"/>
    <w:lvlOverride w:ilvl="0">
      <w:startOverride w:val="5"/>
    </w:lvlOverride>
  </w:num>
  <w:num w:numId="14">
    <w:abstractNumId w:val="8"/>
    <w:lvlOverride w:ilvl="0">
      <w:startOverride w:val="6"/>
    </w:lvlOverride>
  </w:num>
</w:numbering>
</file>

<file path=word/settings.xml><?xml version="1.0" encoding="utf-8"?>
<w:settings xmlns:w="http://schemas.openxmlformats.org/wordprocessingml/2006/main">
  <w:zoom w:percent="100"/>
  <w:mirrorMargins/>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tinus Serif;Linux Libertine O;Times New Roman" w:hAnsi="Libertinus Serif;Linux Libertine O;Times New Roman" w:eastAsia="DejaVu Sans" w:cs="Noto Sans Arabic UI"/>
        <w:color w:val="000000"/>
        <w:szCs w:val="24"/>
        <w:lang w:val="en-US" w:eastAsia="zh-CN" w:bidi="hi-IN"/>
      </w:rPr>
    </w:rPrDefault>
    <w:pPrDefault>
      <w:pPr>
        <w:suppressAutoHyphens w:val="true"/>
        <w:spacing w:lineRule="auto" w:line="312"/>
      </w:pPr>
    </w:pPrDefault>
  </w:docDefaults>
  <w:style w:type="paragraph" w:styleId="Normal">
    <w:name w:val="Normal"/>
    <w:qFormat/>
    <w:pPr>
      <w:widowControl w:val="false"/>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Heading1">
    <w:name w:val="Heading 1"/>
    <w:basedOn w:val="Heading"/>
    <w:next w:val="BodyText"/>
    <w:qFormat/>
    <w:pPr>
      <w:numPr>
        <w:ilvl w:val="0"/>
        <w:numId w:val="1"/>
      </w:numPr>
      <w:outlineLvl w:val="0"/>
    </w:pPr>
    <w:rPr>
      <w:b/>
      <w:bCs/>
      <w:sz w:val="32"/>
      <w:szCs w:val="32"/>
    </w:rPr>
  </w:style>
  <w:style w:type="paragraph" w:styleId="Heading2">
    <w:name w:val="Heading 2"/>
    <w:basedOn w:val="Heading"/>
    <w:next w:val="BodyText"/>
    <w:qFormat/>
    <w:pPr>
      <w:numPr>
        <w:ilvl w:val="1"/>
        <w:numId w:val="1"/>
      </w:numPr>
      <w:outlineLvl w:val="1"/>
    </w:pPr>
    <w:rPr>
      <w:b/>
      <w:bCs/>
      <w:i/>
      <w:iCs/>
      <w:sz w:val="28"/>
      <w:szCs w:val="28"/>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paragraph" w:styleId="Heading7">
    <w:name w:val="Heading 7"/>
    <w:basedOn w:val="Heading"/>
    <w:next w:val="BodyText"/>
    <w:qFormat/>
    <w:pPr>
      <w:numPr>
        <w:ilvl w:val="6"/>
        <w:numId w:val="1"/>
      </w:numPr>
      <w:outlineLvl w:val="6"/>
    </w:pPr>
    <w:rPr>
      <w:b/>
      <w:bCs/>
      <w:sz w:val="21"/>
      <w:szCs w:val="21"/>
    </w:rPr>
  </w:style>
  <w:style w:type="paragraph" w:styleId="Heading8">
    <w:name w:val="Heading 8"/>
    <w:basedOn w:val="Heading"/>
    <w:next w:val="BodyText"/>
    <w:qFormat/>
    <w:pPr>
      <w:numPr>
        <w:ilvl w:val="7"/>
        <w:numId w:val="1"/>
      </w:numPr>
      <w:outlineLvl w:val="7"/>
    </w:pPr>
    <w:rPr>
      <w:b/>
      <w:bCs/>
      <w:sz w:val="21"/>
      <w:szCs w:val="21"/>
    </w:rPr>
  </w:style>
  <w:style w:type="paragraph" w:styleId="Heading9">
    <w:name w:val="Heading 9"/>
    <w:basedOn w:val="Heading"/>
    <w:next w:val="BodyText"/>
    <w:qFormat/>
    <w:pPr>
      <w:numPr>
        <w:ilvl w:val="8"/>
        <w:numId w:val="1"/>
      </w:numPr>
      <w:outlineLvl w:val="8"/>
    </w:pPr>
    <w:rPr>
      <w:b/>
      <w:bCs/>
      <w:sz w:val="21"/>
      <w:szCs w:val="21"/>
    </w:rPr>
  </w:style>
  <w:style w:type="character" w:styleId="Highlight">
    <w:name w:val="Highlight"/>
    <w:qFormat/>
    <w:rPr>
      <w:sz w:val="20"/>
      <w:shd w:fill="FFB6C1" w:val="clear"/>
    </w:rPr>
  </w:style>
  <w:style w:type="character" w:styleId="OrgSrcFontLockStringFace">
    <w:name w:val="OrgSrcFontLockStringFace"/>
    <w:qFormat/>
    <w:rPr>
      <w:color w:val="4E9A06"/>
      <w:shd w:fill="EDEDED" w:val="clear"/>
    </w:rPr>
  </w:style>
  <w:style w:type="character" w:styleId="OrgSrcFontLockDocFace">
    <w:name w:val="OrgSrcFontLockDocFace"/>
    <w:qFormat/>
    <w:rPr>
      <w:color w:val="4E9A06"/>
      <w:shd w:fill="EDEDED" w:val="clear"/>
    </w:rPr>
  </w:style>
  <w:style w:type="character" w:styleId="OrgSrcFontLockFunctionNameFace">
    <w:name w:val="OrgSrcFontLockFunctionNameFace"/>
    <w:qFormat/>
    <w:rPr>
      <w:color w:val="00578E"/>
      <w:shd w:fill="EDEDED" w:val="clear"/>
    </w:rPr>
  </w:style>
  <w:style w:type="character" w:styleId="OrgSrcFontLockKeywordFace">
    <w:name w:val="OrgSrcFontLockKeywordFace"/>
    <w:qFormat/>
    <w:rPr>
      <w:color w:val="A52A2A"/>
      <w:shd w:fill="EDEDED" w:val="clear"/>
    </w:rPr>
  </w:style>
  <w:style w:type="character" w:styleId="Emphasis">
    <w:name w:val="Emphasis"/>
    <w:qFormat/>
    <w:rPr>
      <w:i/>
      <w:iCs/>
    </w:rPr>
  </w:style>
  <w:style w:type="character" w:styleId="Underline">
    <w:name w:val="Underline"/>
    <w:qFormat/>
    <w:rPr>
      <w:u w:val="single"/>
      <w:shd w:fill="auto" w:val="clear"/>
    </w:rPr>
  </w:style>
  <w:style w:type="character" w:styleId="Strikethrough">
    <w:name w:val="Strikethrough"/>
    <w:qFormat/>
    <w:rPr>
      <w:strike/>
    </w:rPr>
  </w:style>
  <w:style w:type="character" w:styleId="SourceText">
    <w:name w:val="Source Text"/>
    <w:qFormat/>
    <w:rPr>
      <w:rFonts w:ascii="Courier New" w:hAnsi="Courier New" w:eastAsia="NSimSun" w:cs="Courier New"/>
      <w:shd w:fill="auto" w:val="clear"/>
    </w:rPr>
  </w:style>
  <w:style w:type="character" w:styleId="Quotation">
    <w:name w:val="Quotation"/>
    <w:qFormat/>
    <w:rPr>
      <w:i/>
      <w:iCs/>
    </w:rPr>
  </w:style>
  <w:style w:type="character" w:styleId="Example">
    <w:name w:val="Example"/>
    <w:qFormat/>
    <w:rPr>
      <w:rFonts w:ascii="Courier New" w:hAnsi="Courier New" w:eastAsia="NSimSun" w:cs="Courier New"/>
      <w:shd w:fill="auto" w:val="clear"/>
    </w:rPr>
  </w:style>
  <w:style w:type="character" w:styleId="OrgCode">
    <w:name w:val="OrgCode"/>
    <w:basedOn w:val="SourceText"/>
    <w:qFormat/>
    <w:rPr/>
  </w:style>
  <w:style w:type="character" w:styleId="OrgTodo">
    <w:name w:val="OrgTodo"/>
    <w:qFormat/>
    <w:rPr/>
  </w:style>
  <w:style w:type="character" w:styleId="OrgDone">
    <w:name w:val="OrgDone"/>
    <w:qFormat/>
    <w:rPr/>
  </w:style>
  <w:style w:type="character" w:styleId="OrgTag">
    <w:name w:val="OrgTag"/>
    <w:qFormat/>
    <w:rPr>
      <w:smallCaps/>
      <w:shd w:fill="auto" w:val="clear"/>
    </w:rPr>
  </w:style>
  <w:style w:type="character" w:styleId="OrgTags">
    <w:name w:val="OrgTags"/>
    <w:qFormat/>
    <w:rPr/>
  </w:style>
  <w:style w:type="character" w:styleId="OrgPriority">
    <w:name w:val="OrgPriority"/>
    <w:qFormat/>
    <w:rPr/>
  </w:style>
  <w:style w:type="character" w:styleId="OrgPriority-A">
    <w:name w:val="OrgPriority-A"/>
    <w:basedOn w:val="OrgPriority"/>
    <w:qFormat/>
    <w:rPr/>
  </w:style>
  <w:style w:type="character" w:styleId="OrgPriority-B">
    <w:name w:val="OrgPriority-B"/>
    <w:basedOn w:val="OrgPriority"/>
    <w:qFormat/>
    <w:rPr/>
  </w:style>
  <w:style w:type="character" w:styleId="OrgPriority-C">
    <w:name w:val="OrgPriority-C"/>
    <w:basedOn w:val="OrgPriority"/>
    <w:qFormat/>
    <w:rPr/>
  </w:style>
  <w:style w:type="character" w:styleId="OrgTimestamp">
    <w:name w:val="OrgTimestamp"/>
    <w:qFormat/>
    <w:rPr>
      <w:rFonts w:ascii="Courier New" w:hAnsi="Courier New" w:eastAsia="NSimSun" w:cs="Courier New"/>
      <w:shd w:fill="auto" w:val="clear"/>
    </w:rPr>
  </w:style>
  <w:style w:type="character" w:styleId="OrgActiveTimestamp">
    <w:name w:val="OrgActiveTimestamp"/>
    <w:basedOn w:val="OrgTimestamp"/>
    <w:qFormat/>
    <w:rPr/>
  </w:style>
  <w:style w:type="character" w:styleId="OrgInactiveTimestamp">
    <w:name w:val="OrgInactiveTimestamp"/>
    <w:basedOn w:val="OrgTimestamp"/>
    <w:qFormat/>
    <w:rPr/>
  </w:style>
  <w:style w:type="character" w:styleId="OrgTimestampKeyword">
    <w:name w:val="OrgTimestampKeyword"/>
    <w:qFormat/>
    <w:rPr>
      <w:b/>
      <w:color w:val="auto"/>
    </w:rPr>
  </w:style>
  <w:style w:type="character" w:styleId="OrgScheduledKeyword">
    <w:name w:val="OrgScheduledKeyword"/>
    <w:basedOn w:val="OrgTimestampKeyword"/>
    <w:qFormat/>
    <w:rPr/>
  </w:style>
  <w:style w:type="character" w:styleId="OrgDeadlineKeyword">
    <w:name w:val="OrgDeadlineKeyword"/>
    <w:basedOn w:val="OrgTimestampKeyword"/>
    <w:qFormat/>
    <w:rPr/>
  </w:style>
  <w:style w:type="character" w:styleId="OrgClockKeyword">
    <w:name w:val="OrgClockKeyword"/>
    <w:basedOn w:val="OrgTimestampKeyword"/>
    <w:qFormat/>
    <w:rPr/>
  </w:style>
  <w:style w:type="character" w:styleId="OrgClosedKeyword">
    <w:name w:val="OrgClosedKeyword"/>
    <w:basedOn w:val="OrgTimestampKeyword"/>
    <w:qFormat/>
    <w:rPr/>
  </w:style>
  <w:style w:type="character" w:styleId="OrgTimestampWrapper">
    <w:name w:val="OrgTimestampWrapper"/>
    <w:qFormat/>
    <w:rPr/>
  </w:style>
  <w:style w:type="character" w:styleId="OrgTarget">
    <w:name w:val="OrgTarget"/>
    <w:qFormat/>
    <w:rPr/>
  </w:style>
  <w:style w:type="character" w:styleId="Bold">
    <w:name w:val="Bold"/>
    <w:qFormat/>
    <w:rPr>
      <w:b/>
    </w:rPr>
  </w:style>
  <w:style w:type="character" w:styleId="NumberingSymbols">
    <w:name w:val="Numbering Symbols"/>
    <w:qFormat/>
    <w:rPr/>
  </w:style>
  <w:style w:type="character" w:styleId="FootnoteCharacters">
    <w:name w:val="Footnote Characters"/>
    <w:qFormat/>
    <w:rPr/>
  </w:style>
  <w:style w:type="character" w:styleId="FootnoteReference">
    <w:name w:val="Footnote Reference"/>
    <w:rPr>
      <w:vertAlign w:val="superscript"/>
    </w:rPr>
  </w:style>
  <w:style w:type="character" w:styleId="OrgSuperscript">
    <w:name w:val="OrgSuperscript"/>
    <w:qFormat/>
    <w:rPr>
      <w:vertAlign w:val="superscript"/>
    </w:rPr>
  </w:style>
  <w:style w:type="character" w:styleId="OrgSubscript">
    <w:name w:val="OrgSubscript"/>
    <w:qFormat/>
    <w:rPr>
      <w:vertAlign w:val="subscript"/>
    </w:rPr>
  </w:style>
  <w:style w:type="character" w:styleId="Hyperlink">
    <w:name w:val="Hyperlink"/>
    <w:rPr>
      <w:color w:val="000080"/>
      <w:u w:val="single"/>
      <w:lang w:val="zxx" w:eastAsia="zxx" w:bidi="zxx"/>
    </w:rPr>
  </w:style>
  <w:style w:type="character" w:styleId="Bullet20Symbols">
    <w:name w:val="Bullet_20_Symbols"/>
    <w:qFormat/>
    <w:rPr/>
  </w:style>
  <w:style w:type="paragraph" w:styleId="Heading">
    <w:name w:val="Heading"/>
    <w:basedOn w:val="Normal"/>
    <w:next w:val="BodyText"/>
    <w:qFormat/>
    <w:pPr>
      <w:keepNext w:val="true"/>
      <w:tabs>
        <w:tab w:val="clear" w:pos="1134"/>
        <w:tab w:val="right" w:pos="9808" w:leader="none"/>
      </w:tabs>
      <w:spacing w:before="240" w:after="120"/>
    </w:pPr>
    <w:rPr>
      <w:rFonts w:ascii="Arial" w:hAnsi="Arial" w:eastAsia="SimSun"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Heading201unnumbered">
    <w:name w:val="Heading_20_1_unnumbered"/>
    <w:basedOn w:val="Heading1"/>
    <w:qFormat/>
    <w:pPr>
      <w:numPr>
        <w:ilvl w:val="0"/>
        <w:numId w:val="0"/>
      </w:numPr>
      <w:outlineLvl w:val="9"/>
    </w:pPr>
    <w:rPr/>
  </w:style>
  <w:style w:type="paragraph" w:styleId="Heading202unnumbered">
    <w:name w:val="Heading_20_2_unnumbered"/>
    <w:basedOn w:val="Heading2"/>
    <w:qFormat/>
    <w:pPr>
      <w:numPr>
        <w:ilvl w:val="0"/>
        <w:numId w:val="0"/>
      </w:numPr>
      <w:outlineLvl w:val="9"/>
    </w:pPr>
    <w:rPr/>
  </w:style>
  <w:style w:type="paragraph" w:styleId="Heading203unnumbered">
    <w:name w:val="Heading_20_3_unnumbered"/>
    <w:basedOn w:val="Heading3"/>
    <w:qFormat/>
    <w:pPr>
      <w:numPr>
        <w:ilvl w:val="0"/>
        <w:numId w:val="0"/>
      </w:numPr>
      <w:outlineLvl w:val="9"/>
    </w:pPr>
    <w:rPr/>
  </w:style>
  <w:style w:type="paragraph" w:styleId="Heading204unnumbered">
    <w:name w:val="Heading_20_4_unnumbered"/>
    <w:basedOn w:val="Heading4"/>
    <w:qFormat/>
    <w:pPr>
      <w:numPr>
        <w:ilvl w:val="0"/>
        <w:numId w:val="0"/>
      </w:numPr>
      <w:outlineLvl w:val="9"/>
    </w:pPr>
    <w:rPr/>
  </w:style>
  <w:style w:type="paragraph" w:styleId="Heading205unnumbered">
    <w:name w:val="Heading_20_5_unnumbered"/>
    <w:basedOn w:val="Heading5"/>
    <w:qFormat/>
    <w:pPr>
      <w:numPr>
        <w:ilvl w:val="0"/>
        <w:numId w:val="0"/>
      </w:numPr>
      <w:outlineLvl w:val="9"/>
    </w:pPr>
    <w:rPr/>
  </w:style>
  <w:style w:type="paragraph" w:styleId="Heading206unnumbered">
    <w:name w:val="Heading_20_6_unnumbered"/>
    <w:basedOn w:val="Heading6"/>
    <w:qFormat/>
    <w:pPr>
      <w:numPr>
        <w:ilvl w:val="0"/>
        <w:numId w:val="0"/>
      </w:numPr>
      <w:outlineLvl w:val="9"/>
    </w:pPr>
    <w:rPr/>
  </w:style>
  <w:style w:type="paragraph" w:styleId="Heading207unnumbered">
    <w:name w:val="Heading_20_7_unnumbered"/>
    <w:basedOn w:val="Heading7"/>
    <w:qFormat/>
    <w:pPr>
      <w:numPr>
        <w:ilvl w:val="0"/>
        <w:numId w:val="0"/>
      </w:numPr>
      <w:outlineLvl w:val="9"/>
    </w:pPr>
    <w:rPr/>
  </w:style>
  <w:style w:type="paragraph" w:styleId="Heading208unnumbered">
    <w:name w:val="Heading_20_8_unnumbered"/>
    <w:basedOn w:val="Heading8"/>
    <w:qFormat/>
    <w:pPr>
      <w:numPr>
        <w:ilvl w:val="0"/>
        <w:numId w:val="0"/>
      </w:numPr>
      <w:outlineLvl w:val="9"/>
    </w:pPr>
    <w:rPr/>
  </w:style>
  <w:style w:type="paragraph" w:styleId="Heading209unnumbered">
    <w:name w:val="Heading_20_9_unnumbered"/>
    <w:basedOn w:val="Heading9"/>
    <w:qFormat/>
    <w:pPr>
      <w:numPr>
        <w:ilvl w:val="0"/>
        <w:numId w:val="0"/>
      </w:numPr>
      <w:outlineLvl w:val="9"/>
    </w:pPr>
    <w:rPr/>
  </w:style>
  <w:style w:type="paragraph" w:styleId="Heading10">
    <w:name w:val="Heading 10"/>
    <w:basedOn w:val="Heading"/>
    <w:next w:val="BodyText"/>
    <w:qFormat/>
    <w:pPr>
      <w:numPr>
        <w:ilvl w:val="8"/>
        <w:numId w:val="1"/>
      </w:numPr>
      <w:outlineLvl w:val="8"/>
    </w:pPr>
    <w:rPr>
      <w:b/>
      <w:bCs/>
      <w:sz w:val="21"/>
      <w:szCs w:val="21"/>
    </w:rPr>
  </w:style>
  <w:style w:type="paragraph" w:styleId="Heading2010unnumbered">
    <w:name w:val="Heading_20_10_unnumbered"/>
    <w:basedOn w:val="Heading10"/>
    <w:qFormat/>
    <w:pPr>
      <w:numPr>
        <w:ilvl w:val="0"/>
        <w:numId w:val="0"/>
      </w:numPr>
      <w:outlineLvl w:val="9"/>
    </w:pPr>
    <w:rPr/>
  </w:style>
  <w:style w:type="paragraph" w:styleId="Heading1title">
    <w:name w:val="Heading 1.title"/>
    <w:basedOn w:val="Heading1"/>
    <w:qFormat/>
    <w:pPr>
      <w:numPr>
        <w:ilvl w:val="0"/>
        <w:numId w:val="0"/>
      </w:numPr>
      <w:jc w:val="center"/>
      <w:outlineLvl w:val="9"/>
    </w:pPr>
    <w:rPr/>
  </w:style>
  <w:style w:type="paragraph" w:styleId="Title">
    <w:name w:val="Title"/>
    <w:basedOn w:val="Heading"/>
    <w:next w:val="Subtitle"/>
    <w:qFormat/>
    <w:pPr>
      <w:jc w:val="center"/>
    </w:pPr>
    <w:rPr>
      <w:b/>
      <w:bCs/>
      <w:sz w:val="36"/>
      <w:szCs w:val="36"/>
    </w:rPr>
  </w:style>
  <w:style w:type="paragraph" w:styleId="OrgTitle">
    <w:name w:val="OrgTitle"/>
    <w:basedOn w:val="Title"/>
    <w:qFormat/>
    <w:pPr>
      <w:spacing w:before="0" w:after="0"/>
    </w:pPr>
    <w:rPr>
      <w:sz w:val="48"/>
    </w:rPr>
  </w:style>
  <w:style w:type="paragraph" w:styleId="Subtitle">
    <w:name w:val="Subtitle"/>
    <w:basedOn w:val="Heading"/>
    <w:next w:val="BodyText"/>
    <w:qFormat/>
    <w:pPr>
      <w:jc w:val="center"/>
    </w:pPr>
    <w:rPr>
      <w:i/>
      <w:iCs/>
      <w:sz w:val="28"/>
      <w:szCs w:val="28"/>
    </w:rPr>
  </w:style>
  <w:style w:type="paragraph" w:styleId="OrgSubtitle">
    <w:name w:val="OrgSubtitle"/>
    <w:basedOn w:val="Subtitle"/>
    <w:qFormat/>
    <w:pPr>
      <w:spacing w:before="0" w:after="0"/>
    </w:pPr>
    <w:rPr>
      <w:sz w:val="40"/>
    </w:rPr>
  </w:style>
  <w:style w:type="paragraph" w:styleId="BodyTextIndent">
    <w:name w:val="Body Text Indent"/>
    <w:basedOn w:val="BodyText"/>
    <w:pPr>
      <w:ind w:hanging="0" w:left="283" w:right="0"/>
    </w:pPr>
    <w:rPr/>
  </w:style>
  <w:style w:type="paragraph" w:styleId="ListIndent">
    <w:name w:val="List Indent"/>
    <w:basedOn w:val="BodyText"/>
    <w:qFormat/>
    <w:pPr>
      <w:tabs>
        <w:tab w:val="clear" w:pos="1134"/>
        <w:tab w:val="left" w:pos="2835" w:leader="none"/>
      </w:tabs>
      <w:ind w:hanging="2551" w:left="2835" w:right="0"/>
    </w:pPr>
    <w:rPr/>
  </w:style>
  <w:style w:type="paragraph" w:styleId="BodyTextFirstIndent">
    <w:name w:val="Body Text First Indent"/>
    <w:basedOn w:val="BodyText"/>
    <w:pPr>
      <w:ind w:firstLine="283" w:left="0" w:right="0"/>
    </w:pPr>
    <w:rPr/>
  </w:style>
  <w:style w:type="paragraph" w:styleId="HangingIndent">
    <w:name w:val="Hanging Indent"/>
    <w:basedOn w:val="BodyText"/>
    <w:qFormat/>
    <w:pPr>
      <w:tabs>
        <w:tab w:val="clear" w:pos="1134"/>
        <w:tab w:val="left" w:pos="567" w:leader="none"/>
      </w:tabs>
      <w:ind w:hanging="283" w:left="567" w:right="0"/>
    </w:pPr>
    <w:rPr/>
  </w:style>
  <w:style w:type="paragraph" w:styleId="Salutation">
    <w:name w:val="Salutation"/>
    <w:basedOn w:val="Normal"/>
    <w:pPr>
      <w:suppressLineNumbers/>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suppressLineNumbers/>
      <w:ind w:hanging="0" w:left="0" w:right="0"/>
    </w:pPr>
    <w:rPr>
      <w:b/>
      <w:bCs/>
      <w:sz w:val="32"/>
      <w:szCs w:val="32"/>
    </w:rPr>
  </w:style>
  <w:style w:type="paragraph" w:styleId="TOC1">
    <w:name w:val="TOC 1"/>
    <w:basedOn w:val="Index"/>
    <w:pPr>
      <w:tabs>
        <w:tab w:val="clear" w:pos="1134"/>
        <w:tab w:val="right" w:pos="9638" w:leader="dot"/>
      </w:tabs>
      <w:ind w:hanging="0" w:left="0" w:right="0"/>
    </w:pPr>
    <w:rPr/>
  </w:style>
  <w:style w:type="paragraph" w:styleId="TOC2">
    <w:name w:val="TOC 2"/>
    <w:basedOn w:val="Index"/>
    <w:pPr>
      <w:tabs>
        <w:tab w:val="clear" w:pos="1134"/>
        <w:tab w:val="right" w:pos="9638" w:leader="dot"/>
      </w:tabs>
      <w:ind w:hanging="0" w:left="283" w:right="0"/>
    </w:pPr>
    <w:rPr/>
  </w:style>
  <w:style w:type="paragraph" w:styleId="TOC3">
    <w:name w:val="TOC 3"/>
    <w:basedOn w:val="Index"/>
    <w:pPr>
      <w:tabs>
        <w:tab w:val="clear" w:pos="1134"/>
        <w:tab w:val="right" w:pos="9638" w:leader="dot"/>
      </w:tabs>
      <w:ind w:hanging="0" w:left="566" w:right="0"/>
    </w:pPr>
    <w:rPr/>
  </w:style>
  <w:style w:type="paragraph" w:styleId="TOC4">
    <w:name w:val="TOC 4"/>
    <w:basedOn w:val="Index"/>
    <w:pPr>
      <w:tabs>
        <w:tab w:val="clear" w:pos="1134"/>
        <w:tab w:val="right" w:pos="9638" w:leader="dot"/>
      </w:tabs>
      <w:ind w:hanging="0" w:left="849" w:right="0"/>
    </w:pPr>
    <w:rPr/>
  </w:style>
  <w:style w:type="paragraph" w:styleId="TOC5">
    <w:name w:val="TOC 5"/>
    <w:basedOn w:val="Index"/>
    <w:pPr>
      <w:tabs>
        <w:tab w:val="clear" w:pos="1134"/>
        <w:tab w:val="right" w:pos="9638" w:leader="dot"/>
      </w:tabs>
      <w:ind w:hanging="0" w:left="1132" w:right="0"/>
    </w:pPr>
    <w:rPr/>
  </w:style>
  <w:style w:type="paragraph" w:styleId="TOC6">
    <w:name w:val="TOC 6"/>
    <w:basedOn w:val="Index"/>
    <w:pPr>
      <w:tabs>
        <w:tab w:val="clear" w:pos="1134"/>
        <w:tab w:val="right" w:pos="9638" w:leader="dot"/>
      </w:tabs>
      <w:ind w:hanging="0" w:left="1415" w:right="0"/>
    </w:pPr>
    <w:rPr/>
  </w:style>
  <w:style w:type="paragraph" w:styleId="TOC7">
    <w:name w:val="TOC 7"/>
    <w:basedOn w:val="Index"/>
    <w:pPr>
      <w:tabs>
        <w:tab w:val="clear" w:pos="1134"/>
        <w:tab w:val="right" w:pos="9638" w:leader="dot"/>
      </w:tabs>
      <w:ind w:hanging="0" w:left="1698" w:right="0"/>
    </w:pPr>
    <w:rPr/>
  </w:style>
  <w:style w:type="paragraph" w:styleId="TOC8">
    <w:name w:val="TOC 8"/>
    <w:basedOn w:val="Index"/>
    <w:pPr>
      <w:tabs>
        <w:tab w:val="clear" w:pos="1134"/>
        <w:tab w:val="right" w:pos="9638" w:leader="dot"/>
      </w:tabs>
      <w:ind w:hanging="0" w:left="1981" w:right="0"/>
    </w:pPr>
    <w:rPr/>
  </w:style>
  <w:style w:type="paragraph" w:styleId="TOC9">
    <w:name w:val="TOC 9"/>
    <w:basedOn w:val="Index"/>
    <w:pPr>
      <w:tabs>
        <w:tab w:val="clear" w:pos="1134"/>
        <w:tab w:val="right" w:pos="9638" w:leader="dot"/>
      </w:tabs>
      <w:ind w:hanging="0" w:left="2264" w:right="0"/>
    </w:pPr>
    <w:rPr/>
  </w:style>
  <w:style w:type="paragraph" w:styleId="Contents10">
    <w:name w:val="Contents 10"/>
    <w:basedOn w:val="Index"/>
    <w:qFormat/>
    <w:pPr>
      <w:tabs>
        <w:tab w:val="clear" w:pos="1134"/>
        <w:tab w:val="right" w:pos="9638" w:leader="dot"/>
      </w:tabs>
      <w:ind w:hanging="0" w:left="2547" w:right="0"/>
    </w:pPr>
    <w:rPr/>
  </w:style>
  <w:style w:type="paragraph" w:styleId="BlockQuotation">
    <w:name w:val="Block Quotation"/>
    <w:basedOn w:val="Normal"/>
    <w:qFormat/>
    <w:pPr>
      <w:spacing w:before="0" w:after="283"/>
      <w:ind w:hanging="0" w:left="567" w:right="567"/>
    </w:pPr>
    <w:rPr/>
  </w:style>
  <w:style w:type="paragraph" w:styleId="OrgFootnoteQuotations">
    <w:name w:val="OrgFootnoteQuotations"/>
    <w:basedOn w:val="FootnoteText"/>
    <w:qFormat/>
    <w:pPr>
      <w:spacing w:before="0" w:after="283"/>
      <w:ind w:hanging="0" w:left="567" w:right="567"/>
    </w:pPr>
    <w:rPr/>
  </w:style>
  <w:style w:type="paragraph" w:styleId="PreformattedText">
    <w:name w:val="Preformatted Text"/>
    <w:basedOn w:val="Normal"/>
    <w:qFormat/>
    <w:pPr>
      <w:spacing w:before="0" w:after="0"/>
    </w:pPr>
    <w:rPr>
      <w:rFonts w:ascii="Courier New" w:hAnsi="Courier New" w:eastAsia="NSimSun" w:cs="Courier New"/>
      <w:sz w:val="20"/>
      <w:szCs w:val="20"/>
    </w:rPr>
  </w:style>
  <w:style w:type="paragraph" w:styleId="OrgVerse">
    <w:name w:val="OrgVerse"/>
    <w:basedOn w:val="PreformattedText"/>
    <w:qFormat/>
    <w:pPr>
      <w:pBdr>
        <w:top w:val="single" w:sz="2" w:space="16" w:color="000000"/>
        <w:left w:val="single" w:sz="2" w:space="16" w:color="000000"/>
        <w:bottom w:val="single" w:sz="2" w:space="16" w:color="000000"/>
        <w:right w:val="single" w:sz="2" w:space="16" w:color="000000"/>
      </w:pBdr>
      <w:shd w:fill="FAF0E6" w:val="clear"/>
    </w:pPr>
    <w:rPr/>
  </w:style>
  <w:style w:type="paragraph" w:styleId="ExampleBlock">
    <w:name w:val="ExampleBlock"/>
    <w:qFormat/>
    <w:pPr>
      <w:widowControl w:val="false"/>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FixedWidthBlock">
    <w:name w:val="OrgFixedWidthBlock"/>
    <w:basedOn w:val="PreformattedText"/>
    <w:qFormat/>
    <w:pPr>
      <w:pBdr>
        <w:top w:val="single" w:sz="2" w:space="4" w:color="000000"/>
        <w:left w:val="single" w:sz="2" w:space="4" w:color="000000"/>
        <w:bottom w:val="single" w:sz="2" w:space="4" w:color="000000"/>
        <w:right w:val="single" w:sz="2" w:space="4" w:color="000000"/>
      </w:pBdr>
      <w:shd w:fill="F0F8FF" w:val="clear"/>
    </w:pPr>
    <w:rPr/>
  </w:style>
  <w:style w:type="paragraph" w:styleId="OrgFixedWidthBlockLastLine">
    <w:name w:val="OrgFixedWidthBlockLastLine"/>
    <w:basedOn w:val="OrgFixedWidthBlock"/>
    <w:qFormat/>
    <w:pPr>
      <w:spacing w:before="0" w:after="119"/>
    </w:pPr>
    <w:rPr/>
  </w:style>
  <w:style w:type="paragraph" w:styleId="PageBreak">
    <w:name w:val="PageBreak"/>
    <w:basedOn w:val="BodyText"/>
    <w:qFormat/>
    <w:pPr>
      <w:pageBreakBefore/>
    </w:pPr>
    <w:rPr/>
  </w:style>
  <w:style w:type="paragraph" w:styleId="OrgFormula">
    <w:name w:val="OrgFormula"/>
    <w:basedOn w:val="BodyText"/>
    <w:qFormat/>
    <w:pPr>
      <w:tabs>
        <w:tab w:val="clear" w:pos="1134"/>
        <w:tab w:val="right" w:pos="9808" w:leader="none"/>
      </w:tabs>
    </w:pPr>
    <w:rPr/>
  </w:style>
  <w:style w:type="paragraph" w:styleId="Example1">
    <w:name w:val="Example1"/>
    <w:qFormat/>
    <w:pPr>
      <w:widowControl w:val="false"/>
      <w:pBdr>
        <w:top w:val="single" w:sz="4" w:space="8" w:color="000000"/>
        <w:left w:val="single" w:sz="4" w:space="8" w:color="000000"/>
        <w:bottom w:val="single" w:sz="4" w:space="8" w:color="000000"/>
        <w:right w:val="single" w:sz="4" w:space="8" w:color="000000"/>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SrcBlock">
    <w:name w:val="OrgSrcBlock"/>
    <w:basedOn w:val="PreformattedText"/>
    <w:qFormat/>
    <w:pPr>
      <w:pBdr>
        <w:top w:val="single" w:sz="4" w:space="1" w:color="000000"/>
        <w:left w:val="single" w:sz="4" w:space="1" w:color="000000"/>
        <w:bottom w:val="single" w:sz="4" w:space="1" w:color="000000"/>
        <w:right w:val="single" w:sz="4" w:space="1" w:color="000000"/>
      </w:pBdr>
      <w:shd w:fill="EDEDED" w:val="clear"/>
    </w:pPr>
    <w:rPr>
      <w:color w:val="2E3436"/>
    </w:rPr>
  </w:style>
  <w:style w:type="paragraph" w:styleId="OrgCenter">
    <w:name w:val="OrgCenter"/>
    <w:basedOn w:val="BodyText"/>
    <w:qFormat/>
    <w:pPr>
      <w:jc w:val="center"/>
    </w:pPr>
    <w:rPr/>
  </w:style>
  <w:style w:type="paragraph" w:styleId="OrgFootnoteCenter">
    <w:name w:val="OrgFootnoteCenter"/>
    <w:basedOn w:val="FootnoteText"/>
    <w:qFormat/>
    <w:pPr>
      <w:jc w:val="center"/>
    </w:pPr>
    <w:rPr/>
  </w:style>
  <w:style w:type="paragraph" w:styleId="OrgTableContents">
    <w:name w:val="OrgTableContents"/>
    <w:basedOn w:val="BodyText"/>
    <w:qFormat/>
    <w:pPr/>
    <w:rPr/>
  </w:style>
  <w:style w:type="paragraph" w:styleId="OrgTableHeading">
    <w:name w:val="OrgTableHeading"/>
    <w:basedOn w:val="OrgTableContents"/>
    <w:qFormat/>
    <w:pPr>
      <w:suppressLineNumbers/>
      <w:jc w:val="center"/>
    </w:pPr>
    <w:rPr>
      <w:b/>
      <w:bCs/>
    </w:rPr>
  </w:style>
  <w:style w:type="paragraph" w:styleId="OrgTableHeadingLeft">
    <w:name w:val="OrgTableHeadingLeft"/>
    <w:basedOn w:val="OrgTableHeading"/>
    <w:qFormat/>
    <w:pPr>
      <w:jc w:val="left"/>
    </w:pPr>
    <w:rPr>
      <w:sz w:val="20"/>
      <w:szCs w:val="20"/>
    </w:rPr>
  </w:style>
  <w:style w:type="paragraph" w:styleId="OrgTableHeadingRight">
    <w:name w:val="OrgTableHeadingRight"/>
    <w:basedOn w:val="OrgTableHeading"/>
    <w:qFormat/>
    <w:pPr>
      <w:jc w:val="right"/>
    </w:pPr>
    <w:rPr>
      <w:sz w:val="20"/>
      <w:szCs w:val="20"/>
    </w:rPr>
  </w:style>
  <w:style w:type="paragraph" w:styleId="OrgTableHeadingCenter">
    <w:name w:val="OrgTableHeadingCenter"/>
    <w:basedOn w:val="OrgTableHeading"/>
    <w:qFormat/>
    <w:pPr>
      <w:jc w:val="center"/>
    </w:pPr>
    <w:rPr/>
  </w:style>
  <w:style w:type="paragraph" w:styleId="OrgTableContentsLeft">
    <w:name w:val="OrgTableContentsLeft"/>
    <w:basedOn w:val="OrgTableContents"/>
    <w:qFormat/>
    <w:pPr>
      <w:jc w:val="left"/>
    </w:pPr>
    <w:rPr>
      <w:sz w:val="16"/>
      <w:szCs w:val="20"/>
    </w:rPr>
  </w:style>
  <w:style w:type="paragraph" w:styleId="OrgTableContentsRight">
    <w:name w:val="OrgTableContentsRight"/>
    <w:basedOn w:val="OrgTableContents"/>
    <w:qFormat/>
    <w:pPr>
      <w:jc w:val="right"/>
    </w:pPr>
    <w:rPr>
      <w:sz w:val="16"/>
      <w:szCs w:val="20"/>
    </w:rPr>
  </w:style>
  <w:style w:type="paragraph" w:styleId="OrgTableContentsCenter">
    <w:name w:val="OrgTableContentsCenter"/>
    <w:basedOn w:val="OrgTableContents"/>
    <w:qFormat/>
    <w:pPr>
      <w:jc w:val="center"/>
    </w:pPr>
    <w:rPr/>
  </w:style>
  <w:style w:type="paragraph" w:styleId="Textbodybold">
    <w:name w:val="Text body bold"/>
    <w:basedOn w:val="BodyText"/>
    <w:next w:val="BodyText"/>
    <w:qFormat/>
    <w:pPr/>
    <w:rPr>
      <w:b/>
    </w:rPr>
  </w:style>
  <w:style w:type="paragraph" w:styleId="CourseCredentials">
    <w:name w:val="Course Credentials"/>
    <w:basedOn w:val="BodyText"/>
    <w:qFormat/>
    <w:pPr>
      <w:jc w:val="center"/>
    </w:pPr>
    <w:rPr>
      <w:rFonts w:ascii="Tahoma1" w:hAnsi="Tahoma1"/>
      <w:i/>
      <w:color w:val="2AA198"/>
      <w:sz w:val="24"/>
    </w:rPr>
  </w:style>
  <w:style w:type="paragraph" w:styleId="Baggrund">
    <w:name w:val="Baggrund"/>
    <w:qFormat/>
    <w:pPr>
      <w:widowControl w:val="false"/>
      <w:shd w:fill="FFFFE0" w:val="clear"/>
      <w:bidi w:val="0"/>
      <w:spacing w:lineRule="auto" w:line="480" w:before="170" w:after="170"/>
      <w:ind w:left="170" w:right="170"/>
      <w:jc w:val="left"/>
    </w:pPr>
    <w:rPr>
      <w:rFonts w:ascii="Times New Roman" w:hAnsi="Times New Roman"/>
      <w:sz w:val="20"/>
      <w:lang w:val="en-US" w:eastAsia="zh-CN" w:bidi="hi-IN"/>
    </w:rPr>
  </w:style>
  <w:style w:type="paragraph" w:styleId="DineSvar">
    <w:name w:val="DineSvar"/>
    <w:qFormat/>
    <w:pPr>
      <w:widowControl w:val="false"/>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pPr>
    <w:rPr>
      <w:rFonts w:ascii="Times New Roman" w:hAnsi="Times New Roman"/>
      <w:sz w:val="20"/>
      <w:lang w:val="en-US" w:eastAsia="zh-CN" w:bidi="hi-IN"/>
    </w:rPr>
  </w:style>
  <w:style w:type="paragraph" w:styleId="Loesningsforslag">
    <w:name w:val="Loesningsforslag"/>
    <w:qFormat/>
    <w:pPr>
      <w:widowControl w:val="fals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pPr>
    <w:rPr>
      <w:rFonts w:ascii="Times New Roman" w:hAnsi="Times New Roman"/>
      <w:sz w:val="20"/>
      <w:lang w:val="en-US" w:eastAsia="zh-CN" w:bidi="hi-IN"/>
    </w:rPr>
  </w:style>
  <w:style w:type="paragraph" w:styleId="FootnoteText">
    <w:name w:val="Footnote Text"/>
    <w:basedOn w:val="Normal"/>
    <w:pPr>
      <w:suppressLineNumbers/>
      <w:ind w:hanging="283" w:left="283" w:right="0"/>
    </w:pPr>
    <w:rPr>
      <w:sz w:val="20"/>
      <w:szCs w:val="20"/>
    </w:rPr>
  </w:style>
  <w:style w:type="paragraph" w:styleId="Figure">
    <w:name w:val="Figure"/>
    <w:basedOn w:val="Caption"/>
    <w:qFormat/>
    <w:pPr/>
    <w:rPr/>
  </w:style>
  <w:style w:type="paragraph" w:styleId="IllustrationIndexHeading">
    <w:name w:val="Illustration Index Heading"/>
    <w:basedOn w:val="Heading"/>
    <w:qFormat/>
    <w:pPr>
      <w:suppressLineNumbers/>
      <w:ind w:hanging="0" w:left="0" w:right="0"/>
    </w:pPr>
    <w:rPr>
      <w:b/>
      <w:bCs/>
      <w:sz w:val="32"/>
      <w:szCs w:val="32"/>
    </w:rPr>
  </w:style>
  <w:style w:type="paragraph" w:styleId="Table">
    <w:name w:val="Table"/>
    <w:basedOn w:val="Caption"/>
    <w:qFormat/>
    <w:pPr>
      <w:jc w:val="center"/>
    </w:pPr>
    <w:rPr/>
  </w:style>
  <w:style w:type="paragraph" w:styleId="Listing">
    <w:name w:val="Listing"/>
    <w:basedOn w:val="Caption"/>
    <w:qFormat/>
    <w:pPr>
      <w:keepNext w:val="true"/>
      <w:tabs>
        <w:tab w:val="clear" w:pos="1134"/>
      </w:tabs>
      <w:ind w:hanging="0" w:left="0" w:right="0"/>
    </w:pPr>
    <w:rPr/>
  </w:style>
  <w:style w:type="paragraph" w:styleId="HorizontalLine">
    <w:name w:val="Horizontal Line"/>
    <w:basedOn w:val="Normal"/>
    <w:next w:val="BodyText"/>
    <w:qFormat/>
    <w:pPr>
      <w:suppressLineNumbers/>
      <w:pBdr>
        <w:bottom w:val="single" w:sz="2" w:space="0" w:color="000000"/>
      </w:pBdr>
      <w:spacing w:before="0" w:after="119"/>
    </w:pPr>
    <w:rPr>
      <w:sz w:val="12"/>
      <w:szCs w:val="12"/>
    </w:rPr>
  </w:style>
  <w:style w:type="paragraph" w:styleId="OrgInlineTaskHeading">
    <w:name w:val="OrgInlineTaskHeading"/>
    <w:basedOn w:val="Caption"/>
    <w:next w:val="BodyText"/>
    <w:qFormat/>
    <w:pPr/>
    <w:rPr>
      <w:b/>
      <w:i w:val="false"/>
    </w:rPr>
  </w:style>
  <w:style w:type="paragraph" w:styleId="HeaderandFooter">
    <w:name w:val="Header and Footer"/>
    <w:basedOn w:val="Normal"/>
    <w:qFormat/>
    <w:pPr>
      <w:suppressLineNumbers/>
      <w:tabs>
        <w:tab w:val="clear" w:pos="1134"/>
        <w:tab w:val="center" w:pos="4989" w:leader="none"/>
        <w:tab w:val="right" w:pos="9808" w:leader="none"/>
      </w:tabs>
    </w:pPr>
    <w:rPr/>
  </w:style>
  <w:style w:type="paragraph" w:styleId="Footer">
    <w:name w:val="Footer"/>
    <w:basedOn w:val="HeaderandFooter"/>
    <w:pPr>
      <w:suppressLineNumbers/>
    </w:pPr>
    <w:rPr/>
  </w:style>
  <w:style w:type="numbering" w:styleId="Numbering1">
    <w:name w:val="Numbering 1"/>
    <w:qFormat/>
  </w:style>
  <w:style w:type="numbering" w:styleId="Bullet">
    <w:name w:val="Bullet •"/>
    <w:qFormat/>
  </w:style>
  <w:style w:type="numbering" w:styleId="OrgNumberedList">
    <w:name w:val="OrgNumberedList"/>
    <w:qFormat/>
  </w:style>
  <w:style w:type="numbering" w:styleId="OrgBulletedList">
    <w:name w:val="OrgBulletedList"/>
    <w:qFormat/>
  </w:style>
  <w:style w:type="numbering" w:styleId="OrgDescriptionList">
    <w:name w:val="OrgDescriptionList"/>
    <w:qFormat/>
  </w:style>
  <w:style w:type="numbering" w:styleId="OrgSrcBlockNumberedLine">
    <w:name w:val="OrgSrcBlockNumberedLin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2026-02-27T16:29:33Z</dcterms:created>
  <dc:creator>Thomas Alexander Gerds</dc:creator>
  <dc:description/>
  <cp:keywords/>
  <dc:language>en-US</dc:language>
  <cp:lastModifiedBy>Thomas Alexander Gerds</cp:lastModifiedBy>
  <dcterms:modified xsi:type="dcterms:W3CDTF">2026-02-27T16:29:33Z</dcterms:modified>
  <cp:revision>0</cp:revision>
  <dc:subject/>
  <dc:title>Modul 3: Livstabel og demografisk fortolkning</dc:title>
</cp:coreProperties>
</file>