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svg" ContentType="image/svg"/>
  <Override PartName="/word/media/image3.png" ContentType="image/png"/>
  <Override PartName="/word/media/image4.svg" ContentType="image/sv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OrgTitle"/>
        <w:bidi w:val="0"/>
        <w:spacing w:before="0" w:after="0"/>
        <w:rPr/>
      </w:pPr>
      <w:r>
        <w:rPr/>
        <w:fldChar w:fldCharType="begin"/>
      </w:r>
      <w:r>
        <w:rPr/>
        <w:instrText xml:space="preserve"> TITLE </w:instrText>
      </w:r>
      <w:r>
        <w:rPr/>
        <w:fldChar w:fldCharType="separate"/>
      </w:r>
      <w:r>
        <w:rPr/>
        <w:t>Modul 1: Holdundervisning</w:t>
      </w:r>
      <w:r>
        <w:rPr/>
        <w:fldChar w:fldCharType="end"/>
      </w:r>
    </w:p>
    <w:p>
      <w:pPr>
        <w:pStyle w:val="OrgTitle"/>
        <w:bidi w:val="0"/>
        <w:spacing w:before="0" w:after="0"/>
        <w:rPr/>
      </w:pPr>
      <w:r>
        <w:rPr/>
      </w:r>
    </w:p>
    <w:p>
      <w:pPr>
        <w:pStyle w:val="CourseCredentials"/>
        <w:bidi w:val="0"/>
        <w:jc w:val="center"/>
        <w:rPr/>
      </w:pPr>
      <w:r>
        <w:rPr/>
        <w:t xml:space="preserve">Rettenøgle </w:t>
      </w:r>
    </w:p>
    <w:p>
      <w:pPr>
        <w:pStyle w:val="Heading201unnumbered"/>
        <w:bidi w:val="0"/>
        <w:jc w:val="left"/>
        <w:outlineLvl w:val="0"/>
        <w:rPr/>
      </w:pPr>
      <w:bookmarkStart w:id="0" w:name="OrgXref.org57179b9"/>
      <w:bookmarkStart w:id="1" w:name="org57179b9"/>
      <w:bookmarkEnd w:id="1"/>
      <w:r>
        <w:rPr/>
        <w:t xml:space="preserve">Opgave 1 </w:t>
      </w:r>
      <w:bookmarkEnd w:id="0"/>
    </w:p>
    <w:p>
      <w:pPr>
        <w:pStyle w:val="BodyText"/>
        <w:bidi w:val="0"/>
        <w:spacing w:before="0" w:after="120"/>
        <w:jc w:val="left"/>
        <w:rPr/>
      </w:pPr>
      <w:r>
        <w:rPr/>
        <w:t xml:space="preserve">Svar på følgende spørgsmål ved at læse i kompendium kapitel 1. </w:t>
      </w:r>
    </w:p>
    <w:p>
      <w:pPr>
        <w:pStyle w:val="BodyText"/>
        <w:numPr>
          <w:ilvl w:val="0"/>
          <w:numId w:val="4"/>
        </w:numPr>
        <w:tabs>
          <w:tab w:val="clear" w:pos="1134"/>
          <w:tab w:val="left" w:pos="890" w:leader="none"/>
        </w:tabs>
        <w:bidi w:val="0"/>
        <w:ind w:hanging="360" w:left="890"/>
        <w:jc w:val="left"/>
        <w:rPr/>
      </w:pPr>
      <w:r>
        <w:rPr/>
        <w:t xml:space="preserve">Danner alle personer som bor i byområderne i Danmark en kohorte? Begrund dit svar. </w:t>
      </w:r>
    </w:p>
    <w:p>
      <w:pPr>
        <w:pStyle w:val="BodyText"/>
        <w:numPr>
          <w:ilvl w:val="0"/>
          <w:numId w:val="2"/>
        </w:numPr>
        <w:tabs>
          <w:tab w:val="clear" w:pos="1134"/>
          <w:tab w:val="left" w:pos="890" w:leader="none"/>
        </w:tabs>
        <w:bidi w:val="0"/>
        <w:ind w:hanging="360" w:left="890"/>
        <w:jc w:val="left"/>
        <w:rPr/>
      </w:pPr>
      <w:r>
        <w:rPr/>
        <w:t xml:space="preserve">Er Københavns befolkning lukket eller åben? Begrund dit svar. </w:t>
      </w:r>
    </w:p>
    <w:p>
      <w:pPr>
        <w:pStyle w:val="BodyText"/>
        <w:numPr>
          <w:ilvl w:val="0"/>
          <w:numId w:val="2"/>
        </w:numPr>
        <w:tabs>
          <w:tab w:val="clear" w:pos="1134"/>
          <w:tab w:val="left" w:pos="890" w:leader="none"/>
        </w:tabs>
        <w:bidi w:val="0"/>
        <w:ind w:hanging="360" w:left="890"/>
        <w:jc w:val="left"/>
        <w:rPr/>
      </w:pPr>
      <w:r>
        <w:rPr/>
        <w:t xml:space="preserve">Hvad er den naturlige vækstrate og hvad er nettovandringsraten? Hvilken af de to er sværest at registrere nøjagtigt? </w:t>
      </w:r>
    </w:p>
    <w:p>
      <w:pPr>
        <w:pStyle w:val="BodyText"/>
        <w:numPr>
          <w:ilvl w:val="0"/>
          <w:numId w:val="2"/>
        </w:numPr>
        <w:tabs>
          <w:tab w:val="clear" w:pos="1134"/>
          <w:tab w:val="left" w:pos="890" w:leader="none"/>
        </w:tabs>
        <w:bidi w:val="0"/>
        <w:ind w:hanging="360" w:left="890"/>
        <w:jc w:val="left"/>
        <w:rPr/>
      </w:pPr>
      <w:r>
        <w:rPr/>
        <w:t xml:space="preserve">Kapitel 1 afsnit 7 (Rater) angiver mortalitetsraten for Bornholm i 2022 som 14,3 per 1000 personår og Kapitel 1 afsnit 7.2 (Perioderater) angiver 14,4 per 1000 personår. Hvad er årsagen til denne forskel? </w:t>
      </w:r>
    </w:p>
    <w:p>
      <w:pPr>
        <w:pStyle w:val="BodyText"/>
        <w:numPr>
          <w:ilvl w:val="0"/>
          <w:numId w:val="2"/>
        </w:numPr>
        <w:tabs>
          <w:tab w:val="clear" w:pos="1134"/>
          <w:tab w:val="left" w:pos="890" w:leader="none"/>
        </w:tabs>
        <w:bidi w:val="0"/>
        <w:ind w:hanging="360" w:left="890"/>
        <w:jc w:val="left"/>
        <w:rPr/>
      </w:pPr>
      <w:r>
        <w:rPr/>
        <w:t xml:space="preserve">Hvilke enheder har hhv., folketal, middelfolketal, risikotid og mortalitetsrate? </w:t>
      </w:r>
    </w:p>
    <w:p>
      <w:pPr>
        <w:pStyle w:val="Heading201unnumbered"/>
        <w:bidi w:val="0"/>
        <w:jc w:val="left"/>
        <w:outlineLvl w:val="0"/>
        <w:rPr/>
      </w:pPr>
      <w:bookmarkStart w:id="2" w:name="OrgXref.org9fb2760"/>
      <w:bookmarkStart w:id="3" w:name="org9fb2760"/>
      <w:bookmarkEnd w:id="3"/>
      <w:r>
        <w:rPr/>
        <w:t xml:space="preserve">Rettenøgle opgave 1 </w:t>
      </w:r>
      <w:bookmarkEnd w:id="2"/>
    </w:p>
    <w:p>
      <w:pPr>
        <w:pStyle w:val="Heading202unnumbered"/>
        <w:bidi w:val="0"/>
        <w:jc w:val="left"/>
        <w:outlineLvl w:val="1"/>
        <w:rPr/>
      </w:pPr>
      <w:bookmarkStart w:id="4" w:name="OrgXref.org5dfdd68"/>
      <w:bookmarkStart w:id="5" w:name="org5dfdd68"/>
      <w:bookmarkEnd w:id="5"/>
      <w:r>
        <w:rPr/>
        <w:t xml:space="preserve">Opgave 1.1 </w:t>
      </w:r>
      <w:bookmarkEnd w:id="4"/>
    </w:p>
    <w:p>
      <w:pPr>
        <w:pStyle w:val="RetteNoegle"/>
        <w:pBdr>
          <w:top w:val="single" w:sz="4" w:space="1" w:color="000000"/>
          <w:left w:val="single" w:sz="4" w:space="1" w:color="000000"/>
          <w:bottom w:val="single" w:sz="4" w:space="1" w:color="000000"/>
          <w:right w:val="single" w:sz="4" w:space="1" w:color="000000"/>
        </w:pBdr>
        <w:shd w:fill="F1DEFC" w:val="clear"/>
        <w:bidi w:val="0"/>
        <w:spacing w:lineRule="auto" w:line="240" w:before="170" w:after="170"/>
        <w:ind w:hanging="0" w:left="170" w:right="170"/>
        <w:jc w:val="left"/>
        <w:rPr/>
      </w:pPr>
      <w:r>
        <w:rPr/>
        <w:t xml:space="preserve">Nej, fordi der mangler en afgivelse af perioden ("hvornår"). Det ville være en kohorte, hvis man fx definerede alle personer, der flyttede til et byområde i perioden 2000-2010, og fulgte dem fremad i tid. </w:t>
      </w:r>
    </w:p>
    <w:p>
      <w:pPr>
        <w:pStyle w:val="Heading202unnumbered"/>
        <w:bidi w:val="0"/>
        <w:jc w:val="left"/>
        <w:outlineLvl w:val="1"/>
        <w:rPr/>
      </w:pPr>
      <w:bookmarkStart w:id="6" w:name="OrgXref.org7a2a6af"/>
      <w:bookmarkStart w:id="7" w:name="org7a2a6af"/>
      <w:bookmarkEnd w:id="7"/>
      <w:r>
        <w:rPr/>
        <w:t xml:space="preserve">Opgave 1.2 </w:t>
      </w:r>
      <w:bookmarkEnd w:id="6"/>
    </w:p>
    <w:p>
      <w:pPr>
        <w:pStyle w:val="RetteNoegle"/>
        <w:pBdr>
          <w:top w:val="single" w:sz="4" w:space="1" w:color="000000"/>
          <w:left w:val="single" w:sz="4" w:space="1" w:color="000000"/>
          <w:bottom w:val="single" w:sz="4" w:space="1" w:color="000000"/>
          <w:right w:val="single" w:sz="4" w:space="1" w:color="000000"/>
        </w:pBdr>
        <w:shd w:fill="F1DEFC" w:val="clear"/>
        <w:bidi w:val="0"/>
        <w:spacing w:lineRule="auto" w:line="240" w:before="170" w:after="170"/>
        <w:ind w:hanging="0" w:left="170" w:right="170"/>
        <w:jc w:val="left"/>
        <w:rPr/>
      </w:pPr>
      <w:r>
        <w:rPr/>
        <w:t xml:space="preserve">Ind- og udvandringer påvirker Københavns befolkning, derfor er Københavns befolkning åben. </w:t>
      </w:r>
    </w:p>
    <w:p>
      <w:pPr>
        <w:pStyle w:val="Heading202unnumbered"/>
        <w:bidi w:val="0"/>
        <w:jc w:val="left"/>
        <w:outlineLvl w:val="1"/>
        <w:rPr/>
      </w:pPr>
      <w:bookmarkStart w:id="8" w:name="OrgXref.orgdf499e4"/>
      <w:bookmarkStart w:id="9" w:name="orgdf499e4"/>
      <w:bookmarkEnd w:id="9"/>
      <w:r>
        <w:rPr/>
        <w:t xml:space="preserve">Opgave 1.3 </w:t>
      </w:r>
      <w:bookmarkEnd w:id="8"/>
    </w:p>
    <w:p>
      <w:pPr>
        <w:pStyle w:val="RetteNoegle"/>
        <w:pBdr>
          <w:top w:val="single" w:sz="4" w:space="1" w:color="000000"/>
          <w:left w:val="single" w:sz="4" w:space="1" w:color="000000"/>
          <w:bottom w:val="single" w:sz="4" w:space="1" w:color="000000"/>
          <w:right w:val="single" w:sz="4" w:space="1" w:color="000000"/>
        </w:pBdr>
        <w:shd w:fill="F1DEFC" w:val="clear"/>
        <w:bidi w:val="0"/>
        <w:spacing w:lineRule="auto" w:line="240" w:before="170" w:after="170"/>
        <w:ind w:hanging="0" w:left="170" w:right="170"/>
        <w:jc w:val="left"/>
        <w:rPr/>
      </w:pPr>
      <w:r>
        <w:rPr/>
        <w:t xml:space="preserve">Den naturlige vækstrate er differencen mellem fødselsrate og mortalitetsrate, nettovandringsraten er differencen mellem ind- og udvandringsrater. Det er sværest at bestemme nettovandringsraten, fordi man typisk ikke registrerer ind- og udvandringsdatoer præcist. </w:t>
      </w:r>
    </w:p>
    <w:p>
      <w:pPr>
        <w:pStyle w:val="Heading202unnumbered"/>
        <w:bidi w:val="0"/>
        <w:jc w:val="left"/>
        <w:outlineLvl w:val="1"/>
        <w:rPr/>
      </w:pPr>
      <w:bookmarkStart w:id="10" w:name="OrgXref.org6327f5b"/>
      <w:bookmarkStart w:id="11" w:name="org6327f5b"/>
      <w:bookmarkEnd w:id="11"/>
      <w:r>
        <w:rPr/>
        <w:t xml:space="preserve">Opgave 1.4 </w:t>
      </w:r>
      <w:bookmarkEnd w:id="10"/>
    </w:p>
    <w:p>
      <w:pPr>
        <w:pStyle w:val="RetteNoegle"/>
        <w:pBdr>
          <w:top w:val="single" w:sz="4" w:space="1" w:color="000000"/>
          <w:left w:val="single" w:sz="4" w:space="1" w:color="000000"/>
          <w:bottom w:val="single" w:sz="4" w:space="1" w:color="000000"/>
          <w:right w:val="single" w:sz="4" w:space="1" w:color="000000"/>
        </w:pBdr>
        <w:shd w:fill="F1DEFC" w:val="clear"/>
        <w:bidi w:val="0"/>
        <w:spacing w:lineRule="auto" w:line="240" w:before="170" w:after="170"/>
        <w:ind w:hanging="0" w:left="170" w:right="170"/>
        <w:jc w:val="left"/>
        <w:rPr/>
      </w:pPr>
      <w:r>
        <w:rPr/>
        <w:t xml:space="preserve">Forskellen skyldes forskellen i beregningen af middelfolketal. Med metode 1 bliver mortalitetsraten 14,3 per 1000 personår, med metode 2 bliver den 14,4 per 1000 personår. </w:t>
      </w:r>
    </w:p>
    <w:p>
      <w:pPr>
        <w:pStyle w:val="Heading202unnumbered"/>
        <w:bidi w:val="0"/>
        <w:jc w:val="left"/>
        <w:outlineLvl w:val="1"/>
        <w:rPr/>
      </w:pPr>
      <w:bookmarkStart w:id="12" w:name="OrgXref.orge90e5c3"/>
      <w:bookmarkStart w:id="13" w:name="orge90e5c3"/>
      <w:bookmarkEnd w:id="13"/>
      <w:r>
        <w:rPr/>
        <w:t xml:space="preserve">Opgave 1.5 </w:t>
      </w:r>
      <w:bookmarkEnd w:id="12"/>
    </w:p>
    <w:p>
      <w:pPr>
        <w:pStyle w:val="RetteNoegle"/>
        <w:pBdr>
          <w:top w:val="single" w:sz="4" w:space="1" w:color="000000"/>
          <w:left w:val="single" w:sz="4" w:space="1" w:color="000000"/>
          <w:bottom w:val="single" w:sz="4" w:space="1" w:color="000000"/>
          <w:right w:val="single" w:sz="4" w:space="1" w:color="000000"/>
        </w:pBdr>
        <w:shd w:fill="F1DEFC" w:val="clear"/>
        <w:bidi w:val="0"/>
        <w:spacing w:lineRule="auto" w:line="240" w:before="170" w:after="170"/>
        <w:ind w:hanging="0" w:left="170" w:right="170"/>
        <w:jc w:val="left"/>
        <w:rPr/>
      </w:pPr>
      <w:r>
        <w:rPr/>
        <w:t xml:space="preserve">Enheden for folketal er /antal personer/ (til et bestemt tidspunkt). Enheden for middelfolketal er /antal personer/ (det gennemsnittetlige antal personer i en periode). Enheden for risikotid er antal personår i en periode. Enheden for mortalitetsraten er antal døde i perioden per risikotid. </w:t>
      </w:r>
    </w:p>
    <w:p>
      <w:pPr>
        <w:pStyle w:val="PageBreak"/>
        <w:bidi w:val="0"/>
        <w:jc w:val="left"/>
        <w:rPr/>
      </w:pPr>
      <w:r>
        <w:rPr/>
      </w:r>
    </w:p>
    <w:p>
      <w:pPr>
        <w:pStyle w:val="Heading201unnumbered"/>
        <w:bidi w:val="0"/>
        <w:jc w:val="left"/>
        <w:outlineLvl w:val="0"/>
        <w:rPr/>
      </w:pPr>
      <w:bookmarkStart w:id="14" w:name="OrgXref.orge2476fb"/>
      <w:bookmarkStart w:id="15" w:name="orge2476fb"/>
      <w:bookmarkEnd w:id="15"/>
      <w:r>
        <w:rPr/>
        <w:t xml:space="preserve">Opgave 2 </w:t>
      </w:r>
      <w:bookmarkEnd w:id="14"/>
    </w:p>
    <w:p>
      <w:pPr>
        <w:pStyle w:val="BodyText"/>
        <w:bidi w:val="0"/>
        <w:spacing w:before="0" w:after="120"/>
        <w:jc w:val="left"/>
        <w:rPr/>
      </w:pPr>
      <w:r>
        <w:rPr/>
        <w:t xml:space="preserve">Figuren nedenfor viser en hypotetisk befolkningsgruppe bestående af kun 5 personer. Baseret på talllene fra grafen, besvar følgende spørgsmål og rapporter dine resultater. </w:t>
      </w:r>
    </w:p>
    <w:p>
      <w:pPr>
        <w:pStyle w:val="BodyText"/>
        <w:numPr>
          <w:ilvl w:val="0"/>
          <w:numId w:val="5"/>
        </w:numPr>
        <w:tabs>
          <w:tab w:val="clear" w:pos="1134"/>
          <w:tab w:val="left" w:pos="890" w:leader="none"/>
        </w:tabs>
        <w:bidi w:val="0"/>
        <w:ind w:hanging="360" w:left="890"/>
        <w:jc w:val="left"/>
        <w:rPr/>
      </w:pPr>
      <w:r>
        <w:rPr/>
        <w:t xml:space="preserve">Hvor lang er perioden? </w:t>
      </w:r>
    </w:p>
    <w:p>
      <w:pPr>
        <w:pStyle w:val="BodyText"/>
        <w:numPr>
          <w:ilvl w:val="0"/>
          <w:numId w:val="3"/>
        </w:numPr>
        <w:tabs>
          <w:tab w:val="clear" w:pos="1134"/>
          <w:tab w:val="left" w:pos="890" w:leader="none"/>
        </w:tabs>
        <w:bidi w:val="0"/>
        <w:ind w:hanging="360" w:left="890"/>
        <w:jc w:val="left"/>
        <w:rPr/>
      </w:pPr>
      <w:r>
        <w:rPr/>
        <w:t xml:space="preserve">Hvor stort er folketallet ved starten og slutningen af perioden? </w:t>
      </w:r>
    </w:p>
    <w:p>
      <w:pPr>
        <w:pStyle w:val="BodyText"/>
        <w:numPr>
          <w:ilvl w:val="0"/>
          <w:numId w:val="3"/>
        </w:numPr>
        <w:tabs>
          <w:tab w:val="clear" w:pos="1134"/>
          <w:tab w:val="left" w:pos="890" w:leader="none"/>
        </w:tabs>
        <w:bidi w:val="0"/>
        <w:ind w:hanging="360" w:left="890"/>
        <w:jc w:val="left"/>
        <w:rPr/>
      </w:pPr>
      <w:r>
        <w:rPr/>
        <w:t xml:space="preserve">Beregn middelfolketallet eksakt og med metode 1 og metode 2 for hele perioden. </w:t>
      </w:r>
    </w:p>
    <w:p>
      <w:pPr>
        <w:pStyle w:val="BodyText"/>
        <w:numPr>
          <w:ilvl w:val="0"/>
          <w:numId w:val="3"/>
        </w:numPr>
        <w:tabs>
          <w:tab w:val="clear" w:pos="1134"/>
          <w:tab w:val="left" w:pos="890" w:leader="none"/>
        </w:tabs>
        <w:bidi w:val="0"/>
        <w:ind w:hanging="360" w:left="890"/>
        <w:jc w:val="left"/>
        <w:rPr/>
      </w:pPr>
      <w:r>
        <w:rPr/>
        <w:t xml:space="preserve">Beregn risikotid eksakt for hele perioden. Angiv enheden. </w:t>
      </w:r>
    </w:p>
    <w:p>
      <w:pPr>
        <w:pStyle w:val="BodyText"/>
        <w:numPr>
          <w:ilvl w:val="0"/>
          <w:numId w:val="3"/>
        </w:numPr>
        <w:tabs>
          <w:tab w:val="clear" w:pos="1134"/>
          <w:tab w:val="left" w:pos="890" w:leader="none"/>
        </w:tabs>
        <w:bidi w:val="0"/>
        <w:ind w:hanging="360" w:left="890"/>
        <w:jc w:val="left"/>
        <w:rPr/>
      </w:pPr>
      <w:r>
        <w:rPr/>
        <w:t xml:space="preserve">Beregn mortalitetsrate for hele perioden. Angiv enheden. </w:t>
      </w:r>
    </w:p>
    <w:p>
      <w:pPr>
        <w:pStyle w:val="BodyText"/>
        <w:bidi w:val="0"/>
        <w:spacing w:before="0" w:after="120"/>
        <w:jc w:val="left"/>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6120130"/>
            <wp:effectExtent l="0" t="0" r="0" b="0"/>
            <wp:wrapTopAndBottom/>
            <wp:docPr id="1" name="Fram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ame1" descr=""/>
                    <pic:cNvPicPr>
                      <a:picLocks noChangeAspect="1" noChangeArrowheads="1"/>
                    </pic:cNvPicPr>
                  </pic:nvPicPr>
                  <pic:blipFill>
                    <a:blip r:embed="rId2">
                      <a:extLst>
                        <a:ext uri="{96DAC541-7B7A-43D3-8B79-37D633B846F1}">
                          <asvg:svgBlip xmlns:asvg="http://schemas.microsoft.com/office/drawing/2016/SVG/main" r:embed="rId3"/>
                        </a:ext>
                      </a:extLst>
                    </a:blip>
                    <a:stretch>
                      <a:fillRect/>
                    </a:stretch>
                  </pic:blipFill>
                  <pic:spPr bwMode="auto">
                    <a:xfrm>
                      <a:off x="0" y="0"/>
                      <a:ext cx="6120130" cy="6120130"/>
                    </a:xfrm>
                    <a:prstGeom prst="rect">
                      <a:avLst/>
                    </a:prstGeom>
                  </pic:spPr>
                </pic:pic>
              </a:graphicData>
            </a:graphic>
          </wp:anchor>
        </w:drawing>
      </w:r>
      <w:r>
        <w:rPr/>
        <w:t xml:space="preserve"> </w:t>
      </w:r>
    </w:p>
    <w:p>
      <w:pPr>
        <w:pStyle w:val="Heading201unnumbered"/>
        <w:bidi w:val="0"/>
        <w:jc w:val="left"/>
        <w:outlineLvl w:val="0"/>
        <w:rPr/>
      </w:pPr>
      <w:bookmarkStart w:id="16" w:name="OrgXref.orgdefb8cf"/>
      <w:bookmarkStart w:id="17" w:name="orgdefb8cf"/>
      <w:bookmarkEnd w:id="17"/>
      <w:r>
        <w:rPr/>
        <w:t xml:space="preserve">Rettenøgle opgave 2 </w:t>
      </w:r>
      <w:bookmarkEnd w:id="16"/>
    </w:p>
    <w:p>
      <w:pPr>
        <w:pStyle w:val="RetteNoegle"/>
        <w:pBdr>
          <w:top w:val="single" w:sz="4" w:space="1" w:color="000000"/>
          <w:left w:val="single" w:sz="4" w:space="1" w:color="000000"/>
          <w:bottom w:val="single" w:sz="4" w:space="1" w:color="000000"/>
          <w:right w:val="single" w:sz="4" w:space="1" w:color="000000"/>
        </w:pBdr>
        <w:shd w:fill="F1DEFC" w:val="clear"/>
        <w:bidi w:val="0"/>
        <w:spacing w:lineRule="auto" w:line="240" w:before="170" w:after="170"/>
        <w:ind w:hanging="0" w:left="170" w:right="170"/>
        <w:jc w:val="left"/>
        <w:rPr/>
      </w:pPr>
      <w:r>
        <w:rPr/>
        <w:t xml:space="preserve">Perioden varer fra 1 april 2013 til 13 maj 2013. Perioden er 6 uger lang. Folketal den 1 april 2013 (N(1 apr 2013)) er 3 personer og folketal den 13 maj 2013 er 2 personer. For at beregne middelfolketallet eksakt summerer vi risikotiderne fra de 5 personer (2+4+6+1+5). Det giver 18 uger. Middelfolketallet er dermed 18/6 = 3 personer. Med metode 1 er middelfolketallet også 3. Den er ikke 4 fordi den person som dødede lige præcis i midten af perioden ikke tæller. Med metode 2 er middelfolketallet (3+2)/2 = 2,5. Antal døde i perioden er D[1 apr 2013, 13 maj 2013] = 2 og dermed er mortalitetsraten[1 apr 2013, 13 maj 2013] = 2/18 = 0,11 døde per personuge. </w:t>
      </w:r>
    </w:p>
    <w:p>
      <w:pPr>
        <w:pStyle w:val="PageBreak"/>
        <w:bidi w:val="0"/>
        <w:jc w:val="left"/>
        <w:rPr/>
      </w:pPr>
      <w:r>
        <w:rPr/>
      </w:r>
    </w:p>
    <w:p>
      <w:pPr>
        <w:pStyle w:val="Heading201unnumbered"/>
        <w:bidi w:val="0"/>
        <w:jc w:val="left"/>
        <w:outlineLvl w:val="0"/>
        <w:rPr/>
      </w:pPr>
      <w:bookmarkStart w:id="18" w:name="OrgXref.org7876fd4"/>
      <w:bookmarkStart w:id="19" w:name="org7876fd4"/>
      <w:bookmarkEnd w:id="19"/>
      <w:r>
        <w:rPr/>
        <w:t xml:space="preserve">Opgave 3 </w:t>
      </w:r>
      <w:bookmarkEnd w:id="18"/>
    </w:p>
    <w:p>
      <w:pPr>
        <w:pStyle w:val="BodyText"/>
        <w:bidi w:val="0"/>
        <w:spacing w:before="0" w:after="120"/>
        <w:jc w:val="left"/>
        <w:rPr/>
      </w:pPr>
      <w:r>
        <w:rPr/>
        <w:t xml:space="preserve">Beregn middelfolketal (metode 2), risikotid og mortalitetsrate i København først i perioden fra den 1. januar 2023 til den 31. december 2024 og bagefter i perioden fra den 1 januar 2013 til den 31. december 2014. Udfyld tabellen nedenfor og rapporter resultaterne. Kommenter kort på forskelle mellem de to perioder. </w:t>
      </w:r>
    </w:p>
    <w:p>
      <w:pPr>
        <w:pStyle w:val="Heading202unnumbered"/>
        <w:bidi w:val="0"/>
        <w:jc w:val="left"/>
        <w:outlineLvl w:val="1"/>
        <w:rPr/>
      </w:pPr>
      <w:bookmarkStart w:id="20" w:name="OrgXref.org3769e51"/>
      <w:bookmarkStart w:id="21" w:name="org3769e51"/>
      <w:bookmarkEnd w:id="21"/>
      <w:r>
        <w:rPr/>
        <w:t xml:space="preserve">Rettenøgle opgave 3 </w:t>
      </w:r>
      <w:bookmarkEnd w:id="20"/>
    </w:p>
    <w:p>
      <w:pPr>
        <w:pStyle w:val="Heading203unnumbered"/>
        <w:bidi w:val="0"/>
        <w:jc w:val="left"/>
        <w:outlineLvl w:val="2"/>
        <w:rPr/>
      </w:pPr>
      <w:bookmarkStart w:id="22" w:name="OrgXref.org5ddc4bb"/>
      <w:bookmarkStart w:id="23" w:name="org5ddc4bb"/>
      <w:bookmarkEnd w:id="23"/>
      <w:r>
        <w:rPr/>
        <w:t xml:space="preserve">Tabel </w:t>
      </w:r>
      <w:bookmarkEnd w:id="22"/>
    </w:p>
    <w:p>
      <w:pPr>
        <w:sectPr>
          <w:footerReference w:type="default" r:id="rId4"/>
          <w:type w:val="nextPage"/>
          <w:pgSz w:w="11906" w:h="16838"/>
          <w:pgMar w:left="1134" w:right="1134" w:gutter="0" w:header="0" w:top="1134" w:footer="1134" w:bottom="1860"/>
          <w:pgNumType w:fmt="decimal"/>
          <w:formProt w:val="false"/>
          <w:textDirection w:val="lrTb"/>
          <w:docGrid w:type="default" w:linePitch="600" w:charSpace="40960"/>
        </w:sectPr>
      </w:pPr>
    </w:p>
    <w:tbl>
      <w:tblPr>
        <w:tblW w:w="4800" w:type="pct"/>
        <w:jc w:val="center"/>
        <w:tblInd w:w="0" w:type="dxa"/>
        <w:tblLayout w:type="fixed"/>
        <w:tblCellMar>
          <w:top w:w="90" w:type="dxa"/>
          <w:left w:w="90" w:type="dxa"/>
          <w:bottom w:w="90" w:type="dxa"/>
          <w:right w:w="90" w:type="dxa"/>
        </w:tblCellMar>
      </w:tblPr>
      <w:tblGrid>
        <w:gridCol w:w="1850"/>
        <w:gridCol w:w="1850"/>
        <w:gridCol w:w="1851"/>
        <w:gridCol w:w="1850"/>
        <w:gridCol w:w="1851"/>
      </w:tblGrid>
      <w:tr>
        <w:trPr>
          <w:tblHeader w:val="true"/>
        </w:trPr>
        <w:tc>
          <w:tcPr>
            <w:tcW w:w="1850" w:type="dxa"/>
            <w:tcBorders>
              <w:top w:val="single" w:sz="2" w:space="0" w:color="000000"/>
              <w:bottom w:val="single" w:sz="2" w:space="0" w:color="000000"/>
            </w:tcBorders>
          </w:tcPr>
          <w:p>
            <w:pPr>
              <w:pStyle w:val="OrgTableHeadingRight"/>
              <w:bidi w:val="0"/>
              <w:spacing w:before="0" w:after="120"/>
              <w:jc w:val="right"/>
              <w:rPr/>
            </w:pPr>
            <w:r>
              <w:rPr/>
              <w:t>Periode</w:t>
            </w:r>
          </w:p>
        </w:tc>
        <w:tc>
          <w:tcPr>
            <w:tcW w:w="1850" w:type="dxa"/>
            <w:tcBorders>
              <w:top w:val="single" w:sz="2" w:space="0" w:color="000000"/>
              <w:bottom w:val="single" w:sz="2" w:space="0" w:color="000000"/>
            </w:tcBorders>
          </w:tcPr>
          <w:p>
            <w:pPr>
              <w:pStyle w:val="OrgTableHeadingRight"/>
              <w:bidi w:val="0"/>
              <w:spacing w:before="0" w:after="120"/>
              <w:jc w:val="right"/>
              <w:rPr/>
            </w:pPr>
            <w:r>
              <w:rPr/>
              <w:t>Middelfolketal</w:t>
            </w:r>
          </w:p>
        </w:tc>
        <w:tc>
          <w:tcPr>
            <w:tcW w:w="1851" w:type="dxa"/>
            <w:tcBorders>
              <w:top w:val="single" w:sz="2" w:space="0" w:color="000000"/>
              <w:bottom w:val="single" w:sz="2" w:space="0" w:color="000000"/>
            </w:tcBorders>
          </w:tcPr>
          <w:p>
            <w:pPr>
              <w:pStyle w:val="OrgTableHeadingRight"/>
              <w:bidi w:val="0"/>
              <w:spacing w:before="0" w:after="120"/>
              <w:jc w:val="right"/>
              <w:rPr/>
            </w:pPr>
            <w:r>
              <w:rPr/>
              <w:t>Risikotid</w:t>
            </w:r>
          </w:p>
        </w:tc>
        <w:tc>
          <w:tcPr>
            <w:tcW w:w="1850" w:type="dxa"/>
            <w:tcBorders>
              <w:top w:val="single" w:sz="2" w:space="0" w:color="000000"/>
              <w:bottom w:val="single" w:sz="2" w:space="0" w:color="000000"/>
            </w:tcBorders>
          </w:tcPr>
          <w:p>
            <w:pPr>
              <w:pStyle w:val="OrgTableHeadingRight"/>
              <w:bidi w:val="0"/>
              <w:spacing w:before="0" w:after="120"/>
              <w:jc w:val="right"/>
              <w:rPr/>
            </w:pPr>
            <w:r>
              <w:rPr/>
              <w:t>Døde</w:t>
            </w:r>
          </w:p>
        </w:tc>
        <w:tc>
          <w:tcPr>
            <w:tcW w:w="1851" w:type="dxa"/>
            <w:tcBorders>
              <w:top w:val="single" w:sz="2" w:space="0" w:color="000000"/>
              <w:bottom w:val="single" w:sz="2" w:space="0" w:color="000000"/>
            </w:tcBorders>
          </w:tcPr>
          <w:p>
            <w:pPr>
              <w:pStyle w:val="OrgTableHeadingRight"/>
              <w:bidi w:val="0"/>
              <w:spacing w:before="0" w:after="120"/>
              <w:jc w:val="right"/>
              <w:rPr/>
            </w:pPr>
            <w:r>
              <w:rPr/>
              <w:t>Mortalitet</w:t>
            </w:r>
          </w:p>
        </w:tc>
      </w:tr>
      <w:tr>
        <w:trPr/>
        <w:tc>
          <w:tcPr>
            <w:tcW w:w="1850" w:type="dxa"/>
            <w:tcBorders>
              <w:top w:val="single" w:sz="2" w:space="0" w:color="000000"/>
              <w:bottom w:val="single" w:sz="2" w:space="0" w:color="000000"/>
            </w:tcBorders>
          </w:tcPr>
          <w:p>
            <w:pPr>
              <w:pStyle w:val="OrgTableContentsRight"/>
              <w:bidi w:val="0"/>
              <w:spacing w:before="0" w:after="120"/>
              <w:jc w:val="right"/>
              <w:rPr/>
            </w:pPr>
            <w:r>
              <w:rPr/>
              <w:t>2013-2014</w:t>
            </w:r>
          </w:p>
        </w:tc>
        <w:tc>
          <w:tcPr>
            <w:tcW w:w="1850" w:type="dxa"/>
            <w:tcBorders>
              <w:top w:val="single" w:sz="2" w:space="0" w:color="000000"/>
              <w:bottom w:val="single" w:sz="2" w:space="0" w:color="000000"/>
            </w:tcBorders>
          </w:tcPr>
          <w:p>
            <w:pPr>
              <w:pStyle w:val="OrgTableContentsRight"/>
              <w:bidi w:val="0"/>
              <w:spacing w:before="0" w:after="120"/>
              <w:jc w:val="right"/>
              <w:rPr/>
            </w:pPr>
            <w:r>
              <w:rPr/>
              <w:t>569812.0</w:t>
            </w:r>
          </w:p>
        </w:tc>
        <w:tc>
          <w:tcPr>
            <w:tcW w:w="1851" w:type="dxa"/>
            <w:tcBorders>
              <w:top w:val="single" w:sz="2" w:space="0" w:color="000000"/>
              <w:bottom w:val="single" w:sz="2" w:space="0" w:color="000000"/>
            </w:tcBorders>
          </w:tcPr>
          <w:p>
            <w:pPr>
              <w:pStyle w:val="OrgTableContentsRight"/>
              <w:bidi w:val="0"/>
              <w:spacing w:before="0" w:after="120"/>
              <w:jc w:val="right"/>
              <w:rPr/>
            </w:pPr>
            <w:r>
              <w:rPr/>
              <w:t>1139624</w:t>
            </w:r>
          </w:p>
        </w:tc>
        <w:tc>
          <w:tcPr>
            <w:tcW w:w="1850" w:type="dxa"/>
            <w:tcBorders>
              <w:top w:val="single" w:sz="2" w:space="0" w:color="000000"/>
              <w:bottom w:val="single" w:sz="2" w:space="0" w:color="000000"/>
            </w:tcBorders>
          </w:tcPr>
          <w:p>
            <w:pPr>
              <w:pStyle w:val="OrgTableContentsRight"/>
              <w:bidi w:val="0"/>
              <w:spacing w:before="0" w:after="120"/>
              <w:jc w:val="right"/>
              <w:rPr/>
            </w:pPr>
            <w:r>
              <w:rPr/>
              <w:t>7917</w:t>
            </w:r>
          </w:p>
        </w:tc>
        <w:tc>
          <w:tcPr>
            <w:tcW w:w="1851" w:type="dxa"/>
            <w:tcBorders>
              <w:top w:val="single" w:sz="2" w:space="0" w:color="000000"/>
              <w:bottom w:val="single" w:sz="2" w:space="0" w:color="000000"/>
            </w:tcBorders>
          </w:tcPr>
          <w:p>
            <w:pPr>
              <w:pStyle w:val="OrgTableContentsRight"/>
              <w:bidi w:val="0"/>
              <w:spacing w:before="0" w:after="120"/>
              <w:jc w:val="right"/>
              <w:rPr/>
            </w:pPr>
            <w:r>
              <w:rPr/>
              <w:t>6.9</w:t>
            </w:r>
          </w:p>
        </w:tc>
      </w:tr>
      <w:tr>
        <w:trPr/>
        <w:tc>
          <w:tcPr>
            <w:tcW w:w="1850" w:type="dxa"/>
            <w:tcBorders>
              <w:top w:val="single" w:sz="2" w:space="0" w:color="000000"/>
              <w:bottom w:val="single" w:sz="2" w:space="0" w:color="000000"/>
            </w:tcBorders>
          </w:tcPr>
          <w:p>
            <w:pPr>
              <w:pStyle w:val="OrgTableContentsRight"/>
              <w:bidi w:val="0"/>
              <w:spacing w:before="0" w:after="120"/>
              <w:jc w:val="right"/>
              <w:rPr/>
            </w:pPr>
            <w:r>
              <w:rPr/>
              <w:t>2023-2024</w:t>
            </w:r>
          </w:p>
        </w:tc>
        <w:tc>
          <w:tcPr>
            <w:tcW w:w="1850" w:type="dxa"/>
            <w:tcBorders>
              <w:top w:val="single" w:sz="2" w:space="0" w:color="000000"/>
              <w:bottom w:val="single" w:sz="2" w:space="0" w:color="000000"/>
            </w:tcBorders>
          </w:tcPr>
          <w:p>
            <w:pPr>
              <w:pStyle w:val="OrgTableContentsRight"/>
              <w:bidi w:val="0"/>
              <w:spacing w:before="0" w:after="120"/>
              <w:jc w:val="right"/>
              <w:rPr/>
            </w:pPr>
            <w:r>
              <w:rPr/>
              <w:t>660381.5</w:t>
            </w:r>
          </w:p>
        </w:tc>
        <w:tc>
          <w:tcPr>
            <w:tcW w:w="1851" w:type="dxa"/>
            <w:tcBorders>
              <w:top w:val="single" w:sz="2" w:space="0" w:color="000000"/>
              <w:bottom w:val="single" w:sz="2" w:space="0" w:color="000000"/>
            </w:tcBorders>
          </w:tcPr>
          <w:p>
            <w:pPr>
              <w:pStyle w:val="OrgTableContentsRight"/>
              <w:bidi w:val="0"/>
              <w:spacing w:before="0" w:after="120"/>
              <w:jc w:val="right"/>
              <w:rPr/>
            </w:pPr>
            <w:r>
              <w:rPr/>
              <w:t>1320763</w:t>
            </w:r>
          </w:p>
        </w:tc>
        <w:tc>
          <w:tcPr>
            <w:tcW w:w="1850" w:type="dxa"/>
            <w:tcBorders>
              <w:top w:val="single" w:sz="2" w:space="0" w:color="000000"/>
              <w:bottom w:val="single" w:sz="2" w:space="0" w:color="000000"/>
            </w:tcBorders>
          </w:tcPr>
          <w:p>
            <w:pPr>
              <w:pStyle w:val="OrgTableContentsRight"/>
              <w:bidi w:val="0"/>
              <w:spacing w:before="0" w:after="120"/>
              <w:jc w:val="right"/>
              <w:rPr/>
            </w:pPr>
            <w:r>
              <w:rPr/>
              <w:t>7103</w:t>
            </w:r>
          </w:p>
        </w:tc>
        <w:tc>
          <w:tcPr>
            <w:tcW w:w="1851" w:type="dxa"/>
            <w:tcBorders>
              <w:top w:val="single" w:sz="2" w:space="0" w:color="000000"/>
              <w:bottom w:val="single" w:sz="2" w:space="0" w:color="000000"/>
            </w:tcBorders>
          </w:tcPr>
          <w:p>
            <w:pPr>
              <w:pStyle w:val="OrgTableContentsRight"/>
              <w:bidi w:val="0"/>
              <w:spacing w:before="0" w:after="120"/>
              <w:jc w:val="right"/>
              <w:rPr/>
            </w:pPr>
            <w:r>
              <w:rPr/>
              <w:t>5.4</w:t>
            </w:r>
          </w:p>
        </w:tc>
      </w:tr>
    </w:tbl>
    <w:p>
      <w:pPr>
        <w:sectPr>
          <w:type w:val="continuous"/>
          <w:pgSz w:w="11906" w:h="16838"/>
          <w:pgMar w:left="1134" w:right="1134" w:gutter="0" w:header="0" w:top="1134" w:footer="1134" w:bottom="1860"/>
          <w:formProt w:val="false"/>
          <w:textDirection w:val="lrTb"/>
          <w:docGrid w:type="default" w:linePitch="600" w:charSpace="40960"/>
        </w:sectPr>
      </w:pPr>
    </w:p>
    <w:p>
      <w:pPr>
        <w:pStyle w:val="Heading203unnumbered"/>
        <w:bidi w:val="0"/>
        <w:jc w:val="left"/>
        <w:outlineLvl w:val="2"/>
        <w:rPr/>
      </w:pPr>
      <w:bookmarkStart w:id="24" w:name="OrgXref.orgd89a25d"/>
      <w:bookmarkStart w:id="25" w:name="orgd89a25d"/>
      <w:bookmarkEnd w:id="25"/>
      <w:r>
        <w:rPr/>
        <w:t xml:space="preserve">Resultater </w:t>
      </w:r>
      <w:bookmarkEnd w:id="24"/>
    </w:p>
    <w:p>
      <w:pPr>
        <w:pStyle w:val="RetteNoegle"/>
        <w:pBdr>
          <w:top w:val="single" w:sz="4" w:space="1" w:color="000000"/>
          <w:left w:val="single" w:sz="4" w:space="1" w:color="000000"/>
          <w:bottom w:val="single" w:sz="4" w:space="1" w:color="000000"/>
          <w:right w:val="single" w:sz="4" w:space="1" w:color="000000"/>
        </w:pBdr>
        <w:shd w:fill="F1DEFC" w:val="clear"/>
        <w:bidi w:val="0"/>
        <w:spacing w:lineRule="auto" w:line="240" w:before="170" w:after="170"/>
        <w:ind w:hanging="0" w:left="170" w:right="170"/>
        <w:jc w:val="left"/>
        <w:rPr/>
      </w:pPr>
      <w:r>
        <w:rPr/>
        <w:t xml:space="preserve">I perioden 2013 til 2014 var middelfolketallet 569812 personer og det samlede risikotid var 1139624 personår. Mortalitetsraten var 6,9 døde per 1.000 personår. I perioden 2023 til 2024 var middelfolketallet 660381.5 personer og det samlede risikotid var 1320763 personår. Mortalitetsraten var 5,4 per 1.000 personår. Folketallet i København er steget mellem de to perioder, mens mortalitetsraten er faldet med 1,5 dødsfald per 1.000 personår. </w:t>
      </w:r>
    </w:p>
    <w:p>
      <w:pPr>
        <w:pStyle w:val="PageBreak"/>
        <w:bidi w:val="0"/>
        <w:jc w:val="left"/>
        <w:rPr/>
      </w:pPr>
      <w:r>
        <w:rPr/>
      </w:r>
    </w:p>
    <w:p>
      <w:pPr>
        <w:pStyle w:val="Heading201unnumbered"/>
        <w:bidi w:val="0"/>
        <w:jc w:val="left"/>
        <w:outlineLvl w:val="0"/>
        <w:rPr/>
      </w:pPr>
      <w:bookmarkStart w:id="26" w:name="OrgXref.org2baf86b"/>
      <w:bookmarkStart w:id="27" w:name="org2baf86b"/>
      <w:bookmarkEnd w:id="27"/>
      <w:r>
        <w:rPr/>
        <w:t xml:space="preserve">Opgave 4 </w:t>
      </w:r>
      <w:bookmarkEnd w:id="26"/>
    </w:p>
    <w:p>
      <w:pPr>
        <w:pStyle w:val="BodyText"/>
        <w:bidi w:val="0"/>
        <w:spacing w:before="0" w:after="120"/>
        <w:jc w:val="left"/>
        <w:rPr/>
      </w:pPr>
      <w:r>
        <w:rPr/>
        <w:t xml:space="preserve">Find tal i statistikbanken (tabel FT) for hvordan folketallet i hovedstaden har udviklet sig fra 1787 indtil i dag. Find samtidlig tal for Jylland og for øerne uden hovedstaden. Visualiser tallene fra både hovedstaden, Jylland og øerne uden hovedstaden i en graf. Inkluder grafen i din besvarelse nedenfor. Beskriv udviklingen som grafen viser, og analyser, hvilke demografiske faktorer og bevægelser der har haft indflydelse på denne udvikling. Tip: For udviklingen i hovedstaden er stikordet </w:t>
      </w:r>
      <w:r>
        <w:rPr>
          <w:rStyle w:val="Emphasis"/>
        </w:rPr>
        <w:t>suburbanisering</w:t>
      </w:r>
      <w:r>
        <w:rPr/>
        <w:t xml:space="preserve">. </w:t>
      </w:r>
    </w:p>
    <w:p>
      <w:pPr>
        <w:pStyle w:val="Heading201unnumbered"/>
        <w:bidi w:val="0"/>
        <w:jc w:val="left"/>
        <w:outlineLvl w:val="0"/>
        <w:rPr/>
      </w:pPr>
      <w:bookmarkStart w:id="28" w:name="OrgXref.org14df8a3"/>
      <w:bookmarkStart w:id="29" w:name="org14df8a3"/>
      <w:bookmarkEnd w:id="29"/>
      <w:r>
        <w:rPr/>
        <w:t xml:space="preserve">Rettenøgle opgave 4 </w:t>
      </w:r>
      <w:bookmarkEnd w:id="28"/>
    </w:p>
    <w:p>
      <w:pPr>
        <w:pStyle w:val="BodyText"/>
        <w:bidi w:val="0"/>
        <w:spacing w:before="0" w:after="120"/>
        <w:jc w:val="left"/>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3560445"/>
            <wp:effectExtent l="0" t="0" r="0" b="0"/>
            <wp:wrapTopAndBottom/>
            <wp:docPr id="2" name="Fram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rame2" descr=""/>
                    <pic:cNvPicPr>
                      <a:picLocks noChangeAspect="1" noChangeArrowheads="1"/>
                    </pic:cNvPicPr>
                  </pic:nvPicPr>
                  <pic:blipFill>
                    <a:blip r:embed="rId5">
                      <a:extLst>
                        <a:ext uri="{96DAC541-7B7A-43D3-8B79-37D633B846F1}">
                          <asvg:svgBlip xmlns:asvg="http://schemas.microsoft.com/office/drawing/2016/SVG/main" r:embed="rId6"/>
                        </a:ext>
                      </a:extLst>
                    </a:blip>
                    <a:stretch>
                      <a:fillRect/>
                    </a:stretch>
                  </pic:blipFill>
                  <pic:spPr bwMode="auto">
                    <a:xfrm>
                      <a:off x="0" y="0"/>
                      <a:ext cx="6120130" cy="3560445"/>
                    </a:xfrm>
                    <a:prstGeom prst="rect">
                      <a:avLst/>
                    </a:prstGeom>
                  </pic:spPr>
                </pic:pic>
              </a:graphicData>
            </a:graphic>
          </wp:anchor>
        </w:drawing>
      </w:r>
      <w:r>
        <w:rPr/>
        <w:t xml:space="preserve"> </w:t>
      </w:r>
    </w:p>
    <w:p>
      <w:pPr>
        <w:pStyle w:val="RetteNoegle"/>
        <w:pBdr>
          <w:top w:val="single" w:sz="4" w:space="1" w:color="000000"/>
          <w:left w:val="single" w:sz="4" w:space="1" w:color="000000"/>
          <w:bottom w:val="single" w:sz="4" w:space="1" w:color="000000"/>
          <w:right w:val="single" w:sz="4" w:space="1" w:color="000000"/>
        </w:pBdr>
        <w:shd w:fill="F1DEFC" w:val="clear"/>
        <w:bidi w:val="0"/>
        <w:spacing w:lineRule="auto" w:line="240" w:before="170" w:after="170"/>
        <w:ind w:hanging="0" w:left="170" w:right="170"/>
        <w:jc w:val="left"/>
        <w:rPr/>
      </w:pPr>
      <w:r>
        <w:rPr/>
        <w:t xml:space="preserve">Generelt steg Danmarks folketal kraftigt siden 1800-tallet og frem til i dag (Kompendium, Kapitel 1, Figur 1). Denne udvikling kan forstås som resultatet af samspillet mellem naturlig befolkningstilvækst, indenlandsk og international migration (Kompendium, Kapitel 1, Afsnit 6). Udviklingen i Jylland følger udviklingen i hele landet rimlig tæt. Udviklingen af folketal i hovedstadsområdet ser anderledes ud. I 1800 havde hovedstaden (København plus Frederiksberg og Gentofte) omkring 90.000 indbyggere. I løbet af det 19. århundrede accelererede befolkningstilvæksten markant indtil 1950, hvor folketallet i hovedstadsområdet nåede sit historiske maksimum. I 1950 var folketallet 974.901 og dermed cirka 10 gang højere end i 1787. I de efterfølgende årtier oplevede hovedstaden imidlertid en betydelig befolkningsnedgang, drevet af nettofraflytning til forstæderne. Denne proces kan fortolkes som et klassisk eksempel på suburbanisering, hvor stigende velstand, udbygning af transportinfrastruktur og ændrede boligpræferencer førte til en omfordeling af befolkningen inden for hovedstadsregionen snarere end et egentligt regionalt befolkningstab. </w:t>
      </w:r>
    </w:p>
    <w:sectPr>
      <w:type w:val="continuous"/>
      <w:pgSz w:w="11906" w:h="16838"/>
      <w:pgMar w:left="1134" w:right="1134" w:gutter="0" w:header="0" w:top="1134" w:footer="1134" w:bottom="1860"/>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tinus Serif">
    <w:altName w:val="Linux Libertine O"/>
    <w:charset w:val="01"/>
    <w:family w:val="auto"/>
    <w:pitch w:val="default"/>
  </w:font>
  <w:font w:name="Courier New">
    <w:charset w:val="01"/>
    <w:family w:val="modern"/>
    <w:pitch w:val="fixed"/>
  </w:font>
  <w:font w:name="Arial">
    <w:charset w:val="01"/>
    <w:family w:val="swiss"/>
    <w:pitch w:val="variable"/>
  </w:font>
  <w:font w:name="Tahoma1">
    <w:charset w:val="01"/>
    <w:family w:val="auto"/>
    <w:pitch w:val="default"/>
  </w:font>
  <w:font w:name="Times New Roman">
    <w:charset w:val="01"/>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fldChar w:fldCharType="begin"/>
    </w:r>
    <w:r>
      <w:rPr/>
      <w:instrText xml:space="preserve"> PAGE </w:instrText>
    </w:r>
    <w:r>
      <w:rPr/>
      <w:fldChar w:fldCharType="separate"/>
    </w:r>
    <w:r>
      <w:rPr/>
      <w:t>6</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left"/>
      <w:pPr>
        <w:tabs>
          <w:tab w:val="num" w:pos="0"/>
        </w:tabs>
        <w:ind w:left="432" w:hanging="432"/>
      </w:pPr>
    </w:lvl>
    <w:lvl w:ilvl="1">
      <w:start w:val="1"/>
      <w:pStyle w:val="Heading2"/>
      <w:numFmt w:val="none"/>
      <w:suff w:val="nothing"/>
      <w:lvlText w:val="%2"/>
      <w:lvlJc w:val="left"/>
      <w:pPr>
        <w:tabs>
          <w:tab w:val="num" w:pos="0"/>
        </w:tabs>
        <w:ind w:left="576" w:hanging="576"/>
      </w:pPr>
    </w:lvl>
    <w:lvl w:ilvl="2">
      <w:start w:val="1"/>
      <w:pStyle w:val="Heading3"/>
      <w:numFmt w:val="none"/>
      <w:suff w:val="nothing"/>
      <w:lvlText w:val="%3"/>
      <w:lvlJc w:val="left"/>
      <w:pPr>
        <w:tabs>
          <w:tab w:val="num" w:pos="0"/>
        </w:tabs>
        <w:ind w:left="720" w:hanging="720"/>
      </w:pPr>
    </w:lvl>
    <w:lvl w:ilvl="3">
      <w:start w:val="1"/>
      <w:pStyle w:val="Heading4"/>
      <w:numFmt w:val="none"/>
      <w:suff w:val="nothing"/>
      <w:lvlText w:val="%4"/>
      <w:lvlJc w:val="left"/>
      <w:pPr>
        <w:tabs>
          <w:tab w:val="num" w:pos="0"/>
        </w:tabs>
        <w:ind w:left="864" w:hanging="864"/>
      </w:pPr>
    </w:lvl>
    <w:lvl w:ilvl="4">
      <w:start w:val="1"/>
      <w:pStyle w:val="Heading5"/>
      <w:numFmt w:val="none"/>
      <w:suff w:val="nothing"/>
      <w:lvlText w:val="%5"/>
      <w:lvlJc w:val="left"/>
      <w:pPr>
        <w:tabs>
          <w:tab w:val="num" w:pos="0"/>
        </w:tabs>
        <w:ind w:left="1008" w:hanging="1008"/>
      </w:pPr>
    </w:lvl>
    <w:lvl w:ilvl="5">
      <w:start w:val="1"/>
      <w:pStyle w:val="Heading6"/>
      <w:numFmt w:val="none"/>
      <w:suff w:val="nothing"/>
      <w:lvlText w:val="%6"/>
      <w:lvlJc w:val="left"/>
      <w:pPr>
        <w:tabs>
          <w:tab w:val="num" w:pos="0"/>
        </w:tabs>
        <w:ind w:left="1152" w:hanging="1152"/>
      </w:pPr>
    </w:lvl>
    <w:lvl w:ilvl="6">
      <w:start w:val="1"/>
      <w:pStyle w:val="Heading7"/>
      <w:numFmt w:val="none"/>
      <w:suff w:val="nothing"/>
      <w:lvlText w:val="%7"/>
      <w:lvlJc w:val="left"/>
      <w:pPr>
        <w:tabs>
          <w:tab w:val="num" w:pos="0"/>
        </w:tabs>
        <w:ind w:left="1296" w:hanging="1296"/>
      </w:pPr>
    </w:lvl>
    <w:lvl w:ilvl="7">
      <w:start w:val="1"/>
      <w:pStyle w:val="Heading8"/>
      <w:numFmt w:val="none"/>
      <w:suff w:val="nothing"/>
      <w:lvlText w:val="%8"/>
      <w:lvlJc w:val="left"/>
      <w:pPr>
        <w:tabs>
          <w:tab w:val="num" w:pos="0"/>
        </w:tabs>
        <w:ind w:left="1440" w:hanging="1440"/>
      </w:pPr>
    </w:lvl>
    <w:lvl w:ilvl="8">
      <w:start w:val="1"/>
      <w:pStyle w:val="Heading9"/>
      <w:numFmt w:val="none"/>
      <w:suff w:val="nothing"/>
      <w:lvlText w:val="%9"/>
      <w:lvlJc w:val="left"/>
      <w:pPr>
        <w:tabs>
          <w:tab w:val="num" w:pos="0"/>
        </w:tabs>
        <w:ind w:left="1584" w:hanging="1584"/>
      </w:p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abstractNumId w:val="1"/>
  </w:num>
  <w:num w:numId="2">
    <w:abstractNumId w:val="2"/>
  </w:num>
  <w:num w:numId="3">
    <w:abstractNumId w:val="3"/>
  </w:num>
  <w:num w:numId="4">
    <w:abstractNumId w:val="2"/>
    <w:lvlOverride w:ilvl="0">
      <w:startOverride w:val="1"/>
    </w:lvlOverride>
  </w:num>
  <w:num w:numId="5">
    <w:abstractNumId w:val="3"/>
    <w:lvlOverride w:ilvl="0">
      <w:startOverride w:val="1"/>
    </w:lvlOverride>
  </w:num>
</w:numbering>
</file>

<file path=word/settings.xml><?xml version="1.0" encoding="utf-8"?>
<w:settings xmlns:w="http://schemas.openxmlformats.org/wordprocessingml/2006/main">
  <w:zoom w:percent="180"/>
  <w:mirrorMargins/>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tinus Serif;Linux Libertine O;Times New Roman" w:hAnsi="Libertinus Serif;Linux Libertine O;Times New Roman" w:eastAsia="DejaVu Sans" w:cs="Noto Sans Arabic UI"/>
        <w:color w:val="000000"/>
        <w:szCs w:val="24"/>
        <w:lang w:val="en-US" w:eastAsia="zh-CN" w:bidi="hi-IN"/>
      </w:rPr>
    </w:rPrDefault>
    <w:pPrDefault>
      <w:pPr>
        <w:suppressAutoHyphens w:val="true"/>
        <w:spacing w:lineRule="auto" w:line="312"/>
      </w:pPr>
    </w:pPrDefault>
  </w:docDefaults>
  <w:style w:type="paragraph" w:styleId="Normal">
    <w:name w:val="Normal"/>
    <w:qFormat/>
    <w:pPr>
      <w:widowControl w:val="false"/>
      <w:bidi w:val="0"/>
      <w:spacing w:lineRule="auto" w:line="312" w:before="170" w:after="170"/>
      <w:ind w:left="170" w:right="170"/>
    </w:pPr>
    <w:rPr>
      <w:rFonts w:ascii="Libertinus Serif;Linux Libertine O;Times New Roman" w:hAnsi="Libertinus Serif;Linux Libertine O;Times New Roman"/>
      <w:sz w:val="20"/>
      <w:lang w:val="en-US" w:eastAsia="zh-CN" w:bidi="hi-IN"/>
    </w:rPr>
  </w:style>
  <w:style w:type="paragraph" w:styleId="Heading1">
    <w:name w:val="Heading 1"/>
    <w:basedOn w:val="Heading"/>
    <w:next w:val="BodyText"/>
    <w:qFormat/>
    <w:pPr>
      <w:numPr>
        <w:ilvl w:val="0"/>
        <w:numId w:val="1"/>
      </w:numPr>
      <w:outlineLvl w:val="0"/>
    </w:pPr>
    <w:rPr>
      <w:b/>
      <w:bCs/>
      <w:sz w:val="32"/>
      <w:szCs w:val="32"/>
    </w:rPr>
  </w:style>
  <w:style w:type="paragraph" w:styleId="Heading2">
    <w:name w:val="Heading 2"/>
    <w:basedOn w:val="Heading"/>
    <w:next w:val="BodyText"/>
    <w:qFormat/>
    <w:pPr>
      <w:numPr>
        <w:ilvl w:val="1"/>
        <w:numId w:val="1"/>
      </w:numPr>
      <w:outlineLvl w:val="1"/>
    </w:pPr>
    <w:rPr>
      <w:b/>
      <w:bCs/>
      <w:i/>
      <w:iCs/>
      <w:sz w:val="28"/>
      <w:szCs w:val="28"/>
    </w:rPr>
  </w:style>
  <w:style w:type="paragraph" w:styleId="Heading3">
    <w:name w:val="Heading 3"/>
    <w:basedOn w:val="Heading"/>
    <w:next w:val="BodyText"/>
    <w:qFormat/>
    <w:pPr>
      <w:numPr>
        <w:ilvl w:val="2"/>
        <w:numId w:val="1"/>
      </w:numPr>
      <w:outlineLvl w:val="2"/>
    </w:pPr>
    <w:rPr>
      <w:b/>
      <w:bCs/>
      <w:sz w:val="28"/>
      <w:szCs w:val="28"/>
    </w:rPr>
  </w:style>
  <w:style w:type="paragraph" w:styleId="Heading4">
    <w:name w:val="Heading 4"/>
    <w:basedOn w:val="Heading"/>
    <w:next w:val="BodyText"/>
    <w:qFormat/>
    <w:pPr>
      <w:numPr>
        <w:ilvl w:val="3"/>
        <w:numId w:val="1"/>
      </w:numPr>
      <w:outlineLvl w:val="3"/>
    </w:pPr>
    <w:rPr>
      <w:b/>
      <w:bCs/>
      <w:i/>
      <w:iCs/>
      <w:sz w:val="24"/>
      <w:szCs w:val="24"/>
    </w:rPr>
  </w:style>
  <w:style w:type="paragraph" w:styleId="Heading5">
    <w:name w:val="Heading 5"/>
    <w:basedOn w:val="Heading"/>
    <w:next w:val="BodyText"/>
    <w:qFormat/>
    <w:pPr>
      <w:numPr>
        <w:ilvl w:val="4"/>
        <w:numId w:val="1"/>
      </w:numPr>
      <w:outlineLvl w:val="4"/>
    </w:pPr>
    <w:rPr>
      <w:b/>
      <w:bCs/>
      <w:sz w:val="24"/>
      <w:szCs w:val="24"/>
    </w:rPr>
  </w:style>
  <w:style w:type="paragraph" w:styleId="Heading6">
    <w:name w:val="Heading 6"/>
    <w:basedOn w:val="Heading"/>
    <w:next w:val="BodyText"/>
    <w:qFormat/>
    <w:pPr>
      <w:numPr>
        <w:ilvl w:val="5"/>
        <w:numId w:val="1"/>
      </w:numPr>
      <w:outlineLvl w:val="5"/>
    </w:pPr>
    <w:rPr>
      <w:b/>
      <w:bCs/>
      <w:sz w:val="21"/>
      <w:szCs w:val="21"/>
    </w:rPr>
  </w:style>
  <w:style w:type="paragraph" w:styleId="Heading7">
    <w:name w:val="Heading 7"/>
    <w:basedOn w:val="Heading"/>
    <w:next w:val="BodyText"/>
    <w:qFormat/>
    <w:pPr>
      <w:numPr>
        <w:ilvl w:val="6"/>
        <w:numId w:val="1"/>
      </w:numPr>
      <w:outlineLvl w:val="6"/>
    </w:pPr>
    <w:rPr>
      <w:b/>
      <w:bCs/>
      <w:sz w:val="21"/>
      <w:szCs w:val="21"/>
    </w:rPr>
  </w:style>
  <w:style w:type="paragraph" w:styleId="Heading8">
    <w:name w:val="Heading 8"/>
    <w:basedOn w:val="Heading"/>
    <w:next w:val="BodyText"/>
    <w:qFormat/>
    <w:pPr>
      <w:numPr>
        <w:ilvl w:val="7"/>
        <w:numId w:val="1"/>
      </w:numPr>
      <w:outlineLvl w:val="7"/>
    </w:pPr>
    <w:rPr>
      <w:b/>
      <w:bCs/>
      <w:sz w:val="21"/>
      <w:szCs w:val="21"/>
    </w:rPr>
  </w:style>
  <w:style w:type="paragraph" w:styleId="Heading9">
    <w:name w:val="Heading 9"/>
    <w:basedOn w:val="Heading"/>
    <w:next w:val="BodyText"/>
    <w:qFormat/>
    <w:pPr>
      <w:numPr>
        <w:ilvl w:val="8"/>
        <w:numId w:val="1"/>
      </w:numPr>
      <w:outlineLvl w:val="8"/>
    </w:pPr>
    <w:rPr>
      <w:b/>
      <w:bCs/>
      <w:sz w:val="21"/>
      <w:szCs w:val="21"/>
    </w:rPr>
  </w:style>
  <w:style w:type="character" w:styleId="Highlight">
    <w:name w:val="Highlight"/>
    <w:qFormat/>
    <w:rPr>
      <w:sz w:val="20"/>
      <w:shd w:fill="FFB6C1" w:val="clear"/>
    </w:rPr>
  </w:style>
  <w:style w:type="character" w:styleId="OrgSrcFontLockStringFace">
    <w:name w:val="OrgSrcFontLockStringFace"/>
    <w:qFormat/>
    <w:rPr>
      <w:color w:val="4E9A06"/>
      <w:shd w:fill="EDEDED" w:val="clear"/>
    </w:rPr>
  </w:style>
  <w:style w:type="character" w:styleId="OrgSrcFontLockDocFace">
    <w:name w:val="OrgSrcFontLockDocFace"/>
    <w:qFormat/>
    <w:rPr>
      <w:color w:val="4E9A06"/>
      <w:shd w:fill="EDEDED" w:val="clear"/>
    </w:rPr>
  </w:style>
  <w:style w:type="character" w:styleId="OrgSrcFontLockFunctionNameFace">
    <w:name w:val="OrgSrcFontLockFunctionNameFace"/>
    <w:qFormat/>
    <w:rPr>
      <w:color w:val="00578E"/>
      <w:shd w:fill="EDEDED" w:val="clear"/>
    </w:rPr>
  </w:style>
  <w:style w:type="character" w:styleId="OrgSrcFontLockKeywordFace">
    <w:name w:val="OrgSrcFontLockKeywordFace"/>
    <w:qFormat/>
    <w:rPr>
      <w:color w:val="A52A2A"/>
      <w:shd w:fill="EDEDED" w:val="clear"/>
    </w:rPr>
  </w:style>
  <w:style w:type="character" w:styleId="Emphasis">
    <w:name w:val="Emphasis"/>
    <w:qFormat/>
    <w:rPr>
      <w:i/>
      <w:iCs/>
    </w:rPr>
  </w:style>
  <w:style w:type="character" w:styleId="Underline">
    <w:name w:val="Underline"/>
    <w:qFormat/>
    <w:rPr>
      <w:u w:val="single"/>
      <w:shd w:fill="auto" w:val="clear"/>
    </w:rPr>
  </w:style>
  <w:style w:type="character" w:styleId="Strikethrough">
    <w:name w:val="Strikethrough"/>
    <w:qFormat/>
    <w:rPr>
      <w:strike/>
    </w:rPr>
  </w:style>
  <w:style w:type="character" w:styleId="SourceText">
    <w:name w:val="Source Text"/>
    <w:qFormat/>
    <w:rPr>
      <w:rFonts w:ascii="Courier New" w:hAnsi="Courier New" w:eastAsia="NSimSun" w:cs="Courier New"/>
      <w:shd w:fill="auto" w:val="clear"/>
    </w:rPr>
  </w:style>
  <w:style w:type="character" w:styleId="Quotation">
    <w:name w:val="Quotation"/>
    <w:qFormat/>
    <w:rPr>
      <w:i/>
      <w:iCs/>
    </w:rPr>
  </w:style>
  <w:style w:type="character" w:styleId="Example">
    <w:name w:val="Example"/>
    <w:qFormat/>
    <w:rPr>
      <w:rFonts w:ascii="Courier New" w:hAnsi="Courier New" w:eastAsia="NSimSun" w:cs="Courier New"/>
      <w:shd w:fill="auto" w:val="clear"/>
    </w:rPr>
  </w:style>
  <w:style w:type="character" w:styleId="OrgCode">
    <w:name w:val="OrgCode"/>
    <w:basedOn w:val="SourceText"/>
    <w:qFormat/>
    <w:rPr/>
  </w:style>
  <w:style w:type="character" w:styleId="OrgTodo">
    <w:name w:val="OrgTodo"/>
    <w:qFormat/>
    <w:rPr/>
  </w:style>
  <w:style w:type="character" w:styleId="OrgDone">
    <w:name w:val="OrgDone"/>
    <w:qFormat/>
    <w:rPr/>
  </w:style>
  <w:style w:type="character" w:styleId="OrgTag">
    <w:name w:val="OrgTag"/>
    <w:qFormat/>
    <w:rPr>
      <w:smallCaps/>
      <w:shd w:fill="auto" w:val="clear"/>
    </w:rPr>
  </w:style>
  <w:style w:type="character" w:styleId="OrgTags">
    <w:name w:val="OrgTags"/>
    <w:qFormat/>
    <w:rPr/>
  </w:style>
  <w:style w:type="character" w:styleId="OrgPriority">
    <w:name w:val="OrgPriority"/>
    <w:qFormat/>
    <w:rPr/>
  </w:style>
  <w:style w:type="character" w:styleId="OrgPriority-A">
    <w:name w:val="OrgPriority-A"/>
    <w:basedOn w:val="OrgPriority"/>
    <w:qFormat/>
    <w:rPr/>
  </w:style>
  <w:style w:type="character" w:styleId="OrgPriority-B">
    <w:name w:val="OrgPriority-B"/>
    <w:basedOn w:val="OrgPriority"/>
    <w:qFormat/>
    <w:rPr/>
  </w:style>
  <w:style w:type="character" w:styleId="OrgPriority-C">
    <w:name w:val="OrgPriority-C"/>
    <w:basedOn w:val="OrgPriority"/>
    <w:qFormat/>
    <w:rPr/>
  </w:style>
  <w:style w:type="character" w:styleId="OrgTimestamp">
    <w:name w:val="OrgTimestamp"/>
    <w:qFormat/>
    <w:rPr>
      <w:rFonts w:ascii="Courier New" w:hAnsi="Courier New" w:eastAsia="NSimSun" w:cs="Courier New"/>
      <w:shd w:fill="auto" w:val="clear"/>
    </w:rPr>
  </w:style>
  <w:style w:type="character" w:styleId="OrgActiveTimestamp">
    <w:name w:val="OrgActiveTimestamp"/>
    <w:basedOn w:val="OrgTimestamp"/>
    <w:qFormat/>
    <w:rPr/>
  </w:style>
  <w:style w:type="character" w:styleId="OrgInactiveTimestamp">
    <w:name w:val="OrgInactiveTimestamp"/>
    <w:basedOn w:val="OrgTimestamp"/>
    <w:qFormat/>
    <w:rPr/>
  </w:style>
  <w:style w:type="character" w:styleId="OrgTimestampKeyword">
    <w:name w:val="OrgTimestampKeyword"/>
    <w:qFormat/>
    <w:rPr>
      <w:b/>
      <w:color w:val="auto"/>
    </w:rPr>
  </w:style>
  <w:style w:type="character" w:styleId="OrgScheduledKeyword">
    <w:name w:val="OrgScheduledKeyword"/>
    <w:basedOn w:val="OrgTimestampKeyword"/>
    <w:qFormat/>
    <w:rPr/>
  </w:style>
  <w:style w:type="character" w:styleId="OrgDeadlineKeyword">
    <w:name w:val="OrgDeadlineKeyword"/>
    <w:basedOn w:val="OrgTimestampKeyword"/>
    <w:qFormat/>
    <w:rPr/>
  </w:style>
  <w:style w:type="character" w:styleId="OrgClockKeyword">
    <w:name w:val="OrgClockKeyword"/>
    <w:basedOn w:val="OrgTimestampKeyword"/>
    <w:qFormat/>
    <w:rPr/>
  </w:style>
  <w:style w:type="character" w:styleId="OrgClosedKeyword">
    <w:name w:val="OrgClosedKeyword"/>
    <w:basedOn w:val="OrgTimestampKeyword"/>
    <w:qFormat/>
    <w:rPr/>
  </w:style>
  <w:style w:type="character" w:styleId="OrgTimestampWrapper">
    <w:name w:val="OrgTimestampWrapper"/>
    <w:qFormat/>
    <w:rPr/>
  </w:style>
  <w:style w:type="character" w:styleId="OrgTarget">
    <w:name w:val="OrgTarget"/>
    <w:qFormat/>
    <w:rPr/>
  </w:style>
  <w:style w:type="character" w:styleId="Bold">
    <w:name w:val="Bold"/>
    <w:qFormat/>
    <w:rPr>
      <w:b/>
    </w:rPr>
  </w:style>
  <w:style w:type="character" w:styleId="NumberingSymbols">
    <w:name w:val="Numbering Symbols"/>
    <w:qFormat/>
    <w:rPr/>
  </w:style>
  <w:style w:type="character" w:styleId="FootnoteCharacters">
    <w:name w:val="Footnote Characters"/>
    <w:qFormat/>
    <w:rPr/>
  </w:style>
  <w:style w:type="character" w:styleId="FootnoteReference">
    <w:name w:val="Footnote Reference"/>
    <w:rPr>
      <w:vertAlign w:val="superscript"/>
    </w:rPr>
  </w:style>
  <w:style w:type="character" w:styleId="OrgSuperscript">
    <w:name w:val="OrgSuperscript"/>
    <w:qFormat/>
    <w:rPr>
      <w:vertAlign w:val="superscript"/>
    </w:rPr>
  </w:style>
  <w:style w:type="character" w:styleId="OrgSubscript">
    <w:name w:val="OrgSubscript"/>
    <w:qFormat/>
    <w:rPr>
      <w:vertAlign w:val="subscript"/>
    </w:rPr>
  </w:style>
  <w:style w:type="character" w:styleId="Hyperlink">
    <w:name w:val="Hyperlink"/>
    <w:rPr>
      <w:color w:val="000080"/>
      <w:u w:val="single"/>
      <w:lang w:val="zxx" w:eastAsia="zxx" w:bidi="zxx"/>
    </w:rPr>
  </w:style>
  <w:style w:type="character" w:styleId="Bullet20Symbols">
    <w:name w:val="Bullet_20_Symbols"/>
    <w:qFormat/>
    <w:rPr/>
  </w:style>
  <w:style w:type="paragraph" w:styleId="Heading">
    <w:name w:val="Heading"/>
    <w:basedOn w:val="Normal"/>
    <w:next w:val="BodyText"/>
    <w:qFormat/>
    <w:pPr>
      <w:keepNext w:val="true"/>
      <w:tabs>
        <w:tab w:val="clear" w:pos="1134"/>
        <w:tab w:val="right" w:pos="9808" w:leader="none"/>
      </w:tabs>
      <w:spacing w:before="240" w:after="120"/>
    </w:pPr>
    <w:rPr>
      <w:rFonts w:ascii="Arial" w:hAnsi="Arial" w:eastAsia="SimSun" w:cs="Tahoma"/>
      <w:sz w:val="28"/>
      <w:szCs w:val="28"/>
    </w:rPr>
  </w:style>
  <w:style w:type="paragraph" w:styleId="BodyText">
    <w:name w:val="Body Text"/>
    <w:basedOn w:val="Normal"/>
    <w:pPr>
      <w:spacing w:before="0" w:after="120"/>
    </w:pPr>
    <w:rPr/>
  </w:style>
  <w:style w:type="paragraph" w:styleId="List">
    <w:name w:val="List"/>
    <w:basedOn w:val="BodyText"/>
    <w:pPr/>
    <w:rPr>
      <w:rFonts w:cs="Tahoma"/>
    </w:rPr>
  </w:style>
  <w:style w:type="paragraph" w:styleId="Caption">
    <w:name w:val="Caption"/>
    <w:basedOn w:val="Normal"/>
    <w:qFormat/>
    <w:pPr>
      <w:suppressLineNumbers/>
      <w:spacing w:before="120" w:after="120"/>
    </w:pPr>
    <w:rPr>
      <w:rFonts w:cs="Tahoma"/>
      <w:i/>
      <w:iCs/>
      <w:sz w:val="24"/>
      <w:szCs w:val="24"/>
    </w:rPr>
  </w:style>
  <w:style w:type="paragraph" w:styleId="Index">
    <w:name w:val="Index"/>
    <w:basedOn w:val="Normal"/>
    <w:qFormat/>
    <w:pPr>
      <w:suppressLineNumbers/>
    </w:pPr>
    <w:rPr>
      <w:rFonts w:cs="Tahoma"/>
    </w:rPr>
  </w:style>
  <w:style w:type="paragraph" w:styleId="Heading201unnumbered">
    <w:name w:val="Heading_20_1_unnumbered"/>
    <w:basedOn w:val="Heading1"/>
    <w:qFormat/>
    <w:pPr>
      <w:numPr>
        <w:ilvl w:val="0"/>
        <w:numId w:val="0"/>
      </w:numPr>
      <w:outlineLvl w:val="9"/>
    </w:pPr>
    <w:rPr/>
  </w:style>
  <w:style w:type="paragraph" w:styleId="Heading202unnumbered">
    <w:name w:val="Heading_20_2_unnumbered"/>
    <w:basedOn w:val="Heading2"/>
    <w:qFormat/>
    <w:pPr>
      <w:numPr>
        <w:ilvl w:val="0"/>
        <w:numId w:val="0"/>
      </w:numPr>
      <w:outlineLvl w:val="9"/>
    </w:pPr>
    <w:rPr/>
  </w:style>
  <w:style w:type="paragraph" w:styleId="Heading203unnumbered">
    <w:name w:val="Heading_20_3_unnumbered"/>
    <w:basedOn w:val="Heading3"/>
    <w:qFormat/>
    <w:pPr>
      <w:numPr>
        <w:ilvl w:val="0"/>
        <w:numId w:val="0"/>
      </w:numPr>
      <w:outlineLvl w:val="9"/>
    </w:pPr>
    <w:rPr/>
  </w:style>
  <w:style w:type="paragraph" w:styleId="Heading204unnumbered">
    <w:name w:val="Heading_20_4_unnumbered"/>
    <w:basedOn w:val="Heading4"/>
    <w:qFormat/>
    <w:pPr>
      <w:numPr>
        <w:ilvl w:val="0"/>
        <w:numId w:val="0"/>
      </w:numPr>
      <w:outlineLvl w:val="9"/>
    </w:pPr>
    <w:rPr/>
  </w:style>
  <w:style w:type="paragraph" w:styleId="Heading205unnumbered">
    <w:name w:val="Heading_20_5_unnumbered"/>
    <w:basedOn w:val="Heading5"/>
    <w:qFormat/>
    <w:pPr>
      <w:numPr>
        <w:ilvl w:val="0"/>
        <w:numId w:val="0"/>
      </w:numPr>
      <w:outlineLvl w:val="9"/>
    </w:pPr>
    <w:rPr/>
  </w:style>
  <w:style w:type="paragraph" w:styleId="Heading206unnumbered">
    <w:name w:val="Heading_20_6_unnumbered"/>
    <w:basedOn w:val="Heading6"/>
    <w:qFormat/>
    <w:pPr>
      <w:numPr>
        <w:ilvl w:val="0"/>
        <w:numId w:val="0"/>
      </w:numPr>
      <w:outlineLvl w:val="9"/>
    </w:pPr>
    <w:rPr/>
  </w:style>
  <w:style w:type="paragraph" w:styleId="Heading207unnumbered">
    <w:name w:val="Heading_20_7_unnumbered"/>
    <w:basedOn w:val="Heading7"/>
    <w:qFormat/>
    <w:pPr>
      <w:numPr>
        <w:ilvl w:val="0"/>
        <w:numId w:val="0"/>
      </w:numPr>
      <w:outlineLvl w:val="9"/>
    </w:pPr>
    <w:rPr/>
  </w:style>
  <w:style w:type="paragraph" w:styleId="Heading208unnumbered">
    <w:name w:val="Heading_20_8_unnumbered"/>
    <w:basedOn w:val="Heading8"/>
    <w:qFormat/>
    <w:pPr>
      <w:numPr>
        <w:ilvl w:val="0"/>
        <w:numId w:val="0"/>
      </w:numPr>
      <w:outlineLvl w:val="9"/>
    </w:pPr>
    <w:rPr/>
  </w:style>
  <w:style w:type="paragraph" w:styleId="Heading209unnumbered">
    <w:name w:val="Heading_20_9_unnumbered"/>
    <w:basedOn w:val="Heading9"/>
    <w:qFormat/>
    <w:pPr>
      <w:numPr>
        <w:ilvl w:val="0"/>
        <w:numId w:val="0"/>
      </w:numPr>
      <w:outlineLvl w:val="9"/>
    </w:pPr>
    <w:rPr/>
  </w:style>
  <w:style w:type="paragraph" w:styleId="Heading10">
    <w:name w:val="Heading 10"/>
    <w:basedOn w:val="Heading"/>
    <w:next w:val="BodyText"/>
    <w:qFormat/>
    <w:pPr>
      <w:numPr>
        <w:ilvl w:val="8"/>
        <w:numId w:val="1"/>
      </w:numPr>
      <w:outlineLvl w:val="8"/>
    </w:pPr>
    <w:rPr>
      <w:b/>
      <w:bCs/>
      <w:sz w:val="21"/>
      <w:szCs w:val="21"/>
    </w:rPr>
  </w:style>
  <w:style w:type="paragraph" w:styleId="Heading2010unnumbered">
    <w:name w:val="Heading_20_10_unnumbered"/>
    <w:basedOn w:val="Heading10"/>
    <w:qFormat/>
    <w:pPr>
      <w:numPr>
        <w:ilvl w:val="0"/>
        <w:numId w:val="0"/>
      </w:numPr>
      <w:outlineLvl w:val="9"/>
    </w:pPr>
    <w:rPr/>
  </w:style>
  <w:style w:type="paragraph" w:styleId="Heading1title">
    <w:name w:val="Heading 1.title"/>
    <w:basedOn w:val="Heading1"/>
    <w:qFormat/>
    <w:pPr>
      <w:numPr>
        <w:ilvl w:val="0"/>
        <w:numId w:val="0"/>
      </w:numPr>
      <w:jc w:val="center"/>
      <w:outlineLvl w:val="9"/>
    </w:pPr>
    <w:rPr/>
  </w:style>
  <w:style w:type="paragraph" w:styleId="Title">
    <w:name w:val="Title"/>
    <w:basedOn w:val="Heading"/>
    <w:next w:val="Subtitle"/>
    <w:qFormat/>
    <w:pPr>
      <w:jc w:val="center"/>
    </w:pPr>
    <w:rPr>
      <w:b/>
      <w:bCs/>
      <w:sz w:val="36"/>
      <w:szCs w:val="36"/>
    </w:rPr>
  </w:style>
  <w:style w:type="paragraph" w:styleId="OrgTitle">
    <w:name w:val="OrgTitle"/>
    <w:basedOn w:val="Title"/>
    <w:qFormat/>
    <w:pPr>
      <w:spacing w:before="0" w:after="0"/>
    </w:pPr>
    <w:rPr>
      <w:sz w:val="48"/>
    </w:rPr>
  </w:style>
  <w:style w:type="paragraph" w:styleId="Subtitle">
    <w:name w:val="Subtitle"/>
    <w:basedOn w:val="Heading"/>
    <w:next w:val="BodyText"/>
    <w:qFormat/>
    <w:pPr>
      <w:jc w:val="center"/>
    </w:pPr>
    <w:rPr>
      <w:i/>
      <w:iCs/>
      <w:sz w:val="28"/>
      <w:szCs w:val="28"/>
    </w:rPr>
  </w:style>
  <w:style w:type="paragraph" w:styleId="OrgSubtitle">
    <w:name w:val="OrgSubtitle"/>
    <w:basedOn w:val="Subtitle"/>
    <w:qFormat/>
    <w:pPr>
      <w:spacing w:before="0" w:after="0"/>
    </w:pPr>
    <w:rPr>
      <w:sz w:val="40"/>
    </w:rPr>
  </w:style>
  <w:style w:type="paragraph" w:styleId="BodyTextIndent">
    <w:name w:val="Body Text Indent"/>
    <w:basedOn w:val="BodyText"/>
    <w:pPr>
      <w:ind w:hanging="0" w:left="283" w:right="0"/>
    </w:pPr>
    <w:rPr/>
  </w:style>
  <w:style w:type="paragraph" w:styleId="ListIndent">
    <w:name w:val="List Indent"/>
    <w:basedOn w:val="BodyText"/>
    <w:qFormat/>
    <w:pPr>
      <w:tabs>
        <w:tab w:val="clear" w:pos="1134"/>
        <w:tab w:val="left" w:pos="2835" w:leader="none"/>
      </w:tabs>
      <w:ind w:hanging="2551" w:left="2835" w:right="0"/>
    </w:pPr>
    <w:rPr/>
  </w:style>
  <w:style w:type="paragraph" w:styleId="BodyTextFirstIndent">
    <w:name w:val="Body Text First Indent"/>
    <w:basedOn w:val="BodyText"/>
    <w:pPr>
      <w:ind w:firstLine="283" w:left="0" w:right="0"/>
    </w:pPr>
    <w:rPr/>
  </w:style>
  <w:style w:type="paragraph" w:styleId="HangingIndent">
    <w:name w:val="Hanging Indent"/>
    <w:basedOn w:val="BodyText"/>
    <w:qFormat/>
    <w:pPr>
      <w:tabs>
        <w:tab w:val="clear" w:pos="1134"/>
        <w:tab w:val="left" w:pos="567" w:leader="none"/>
      </w:tabs>
      <w:ind w:hanging="283" w:left="567" w:right="0"/>
    </w:pPr>
    <w:rPr/>
  </w:style>
  <w:style w:type="paragraph" w:styleId="Salutation">
    <w:name w:val="Salutation"/>
    <w:basedOn w:val="Normal"/>
    <w:pPr>
      <w:suppressLineNumbers/>
    </w:pPr>
    <w:rPr/>
  </w:style>
  <w:style w:type="paragraph" w:styleId="IndexHeading">
    <w:name w:val="Index Heading"/>
    <w:basedOn w:val="Heading"/>
    <w:pPr>
      <w:suppressLineNumbers/>
      <w:ind w:hanging="0" w:left="0"/>
    </w:pPr>
    <w:rPr>
      <w:b/>
      <w:bCs/>
      <w:sz w:val="32"/>
      <w:szCs w:val="32"/>
    </w:rPr>
  </w:style>
  <w:style w:type="paragraph" w:styleId="TOCHeading">
    <w:name w:val="TOC Heading"/>
    <w:basedOn w:val="Heading"/>
    <w:qFormat/>
    <w:pPr>
      <w:suppressLineNumbers/>
      <w:ind w:hanging="0" w:left="0" w:right="0"/>
    </w:pPr>
    <w:rPr>
      <w:b/>
      <w:bCs/>
      <w:sz w:val="32"/>
      <w:szCs w:val="32"/>
    </w:rPr>
  </w:style>
  <w:style w:type="paragraph" w:styleId="TOC1">
    <w:name w:val="TOC 1"/>
    <w:basedOn w:val="Index"/>
    <w:pPr>
      <w:tabs>
        <w:tab w:val="clear" w:pos="1134"/>
        <w:tab w:val="right" w:pos="9638" w:leader="dot"/>
      </w:tabs>
      <w:ind w:hanging="0" w:left="0" w:right="0"/>
    </w:pPr>
    <w:rPr/>
  </w:style>
  <w:style w:type="paragraph" w:styleId="TOC2">
    <w:name w:val="TOC 2"/>
    <w:basedOn w:val="Index"/>
    <w:pPr>
      <w:tabs>
        <w:tab w:val="clear" w:pos="1134"/>
        <w:tab w:val="right" w:pos="9638" w:leader="dot"/>
      </w:tabs>
      <w:ind w:hanging="0" w:left="283" w:right="0"/>
    </w:pPr>
    <w:rPr/>
  </w:style>
  <w:style w:type="paragraph" w:styleId="TOC3">
    <w:name w:val="TOC 3"/>
    <w:basedOn w:val="Index"/>
    <w:pPr>
      <w:tabs>
        <w:tab w:val="clear" w:pos="1134"/>
        <w:tab w:val="right" w:pos="9638" w:leader="dot"/>
      </w:tabs>
      <w:ind w:hanging="0" w:left="566" w:right="0"/>
    </w:pPr>
    <w:rPr/>
  </w:style>
  <w:style w:type="paragraph" w:styleId="TOC4">
    <w:name w:val="TOC 4"/>
    <w:basedOn w:val="Index"/>
    <w:pPr>
      <w:tabs>
        <w:tab w:val="clear" w:pos="1134"/>
        <w:tab w:val="right" w:pos="9638" w:leader="dot"/>
      </w:tabs>
      <w:ind w:hanging="0" w:left="849" w:right="0"/>
    </w:pPr>
    <w:rPr/>
  </w:style>
  <w:style w:type="paragraph" w:styleId="TOC5">
    <w:name w:val="TOC 5"/>
    <w:basedOn w:val="Index"/>
    <w:pPr>
      <w:tabs>
        <w:tab w:val="clear" w:pos="1134"/>
        <w:tab w:val="right" w:pos="9638" w:leader="dot"/>
      </w:tabs>
      <w:ind w:hanging="0" w:left="1132" w:right="0"/>
    </w:pPr>
    <w:rPr/>
  </w:style>
  <w:style w:type="paragraph" w:styleId="TOC6">
    <w:name w:val="TOC 6"/>
    <w:basedOn w:val="Index"/>
    <w:pPr>
      <w:tabs>
        <w:tab w:val="clear" w:pos="1134"/>
        <w:tab w:val="right" w:pos="9638" w:leader="dot"/>
      </w:tabs>
      <w:ind w:hanging="0" w:left="1415" w:right="0"/>
    </w:pPr>
    <w:rPr/>
  </w:style>
  <w:style w:type="paragraph" w:styleId="TOC7">
    <w:name w:val="TOC 7"/>
    <w:basedOn w:val="Index"/>
    <w:pPr>
      <w:tabs>
        <w:tab w:val="clear" w:pos="1134"/>
        <w:tab w:val="right" w:pos="9638" w:leader="dot"/>
      </w:tabs>
      <w:ind w:hanging="0" w:left="1698" w:right="0"/>
    </w:pPr>
    <w:rPr/>
  </w:style>
  <w:style w:type="paragraph" w:styleId="TOC8">
    <w:name w:val="TOC 8"/>
    <w:basedOn w:val="Index"/>
    <w:pPr>
      <w:tabs>
        <w:tab w:val="clear" w:pos="1134"/>
        <w:tab w:val="right" w:pos="9638" w:leader="dot"/>
      </w:tabs>
      <w:ind w:hanging="0" w:left="1981" w:right="0"/>
    </w:pPr>
    <w:rPr/>
  </w:style>
  <w:style w:type="paragraph" w:styleId="TOC9">
    <w:name w:val="TOC 9"/>
    <w:basedOn w:val="Index"/>
    <w:pPr>
      <w:tabs>
        <w:tab w:val="clear" w:pos="1134"/>
        <w:tab w:val="right" w:pos="9638" w:leader="dot"/>
      </w:tabs>
      <w:ind w:hanging="0" w:left="2264" w:right="0"/>
    </w:pPr>
    <w:rPr/>
  </w:style>
  <w:style w:type="paragraph" w:styleId="Contents10">
    <w:name w:val="Contents 10"/>
    <w:basedOn w:val="Index"/>
    <w:qFormat/>
    <w:pPr>
      <w:tabs>
        <w:tab w:val="clear" w:pos="1134"/>
        <w:tab w:val="right" w:pos="9638" w:leader="dot"/>
      </w:tabs>
      <w:ind w:hanging="0" w:left="2547" w:right="0"/>
    </w:pPr>
    <w:rPr/>
  </w:style>
  <w:style w:type="paragraph" w:styleId="BlockQuotation">
    <w:name w:val="Block Quotation"/>
    <w:basedOn w:val="Normal"/>
    <w:qFormat/>
    <w:pPr>
      <w:spacing w:before="0" w:after="283"/>
      <w:ind w:hanging="0" w:left="567" w:right="567"/>
    </w:pPr>
    <w:rPr/>
  </w:style>
  <w:style w:type="paragraph" w:styleId="OrgFootnoteQuotations">
    <w:name w:val="OrgFootnoteQuotations"/>
    <w:basedOn w:val="FootnoteText"/>
    <w:qFormat/>
    <w:pPr>
      <w:spacing w:before="0" w:after="283"/>
      <w:ind w:hanging="0" w:left="567" w:right="567"/>
    </w:pPr>
    <w:rPr/>
  </w:style>
  <w:style w:type="paragraph" w:styleId="PreformattedText">
    <w:name w:val="Preformatted Text"/>
    <w:basedOn w:val="Normal"/>
    <w:qFormat/>
    <w:pPr>
      <w:spacing w:before="0" w:after="0"/>
    </w:pPr>
    <w:rPr>
      <w:rFonts w:ascii="Courier New" w:hAnsi="Courier New" w:eastAsia="NSimSun" w:cs="Courier New"/>
      <w:sz w:val="20"/>
      <w:szCs w:val="20"/>
    </w:rPr>
  </w:style>
  <w:style w:type="paragraph" w:styleId="OrgVerse">
    <w:name w:val="OrgVerse"/>
    <w:basedOn w:val="PreformattedText"/>
    <w:qFormat/>
    <w:pPr>
      <w:pBdr>
        <w:top w:val="single" w:sz="2" w:space="16" w:color="000000"/>
        <w:left w:val="single" w:sz="2" w:space="16" w:color="000000"/>
        <w:bottom w:val="single" w:sz="2" w:space="16" w:color="000000"/>
        <w:right w:val="single" w:sz="2" w:space="16" w:color="000000"/>
      </w:pBdr>
      <w:shd w:fill="FAF0E6" w:val="clear"/>
    </w:pPr>
    <w:rPr/>
  </w:style>
  <w:style w:type="paragraph" w:styleId="ExampleBlock">
    <w:name w:val="ExampleBlock"/>
    <w:qFormat/>
    <w:pPr>
      <w:widowControl w:val="false"/>
      <w:pBdr/>
      <w:shd w:fill="F7F7F7" w:val="clear"/>
      <w:bidi w:val="0"/>
      <w:spacing w:lineRule="auto" w:line="312" w:before="170" w:after="170"/>
      <w:ind w:left="170" w:right="170"/>
    </w:pPr>
    <w:rPr>
      <w:rFonts w:ascii="Libertinus Serif;Linux Libertine O;Times New Roman" w:hAnsi="Libertinus Serif;Linux Libertine O;Times New Roman"/>
      <w:sz w:val="20"/>
      <w:lang w:val="en-US" w:eastAsia="zh-CN" w:bidi="hi-IN"/>
    </w:rPr>
  </w:style>
  <w:style w:type="paragraph" w:styleId="OrgFixedWidthBlock">
    <w:name w:val="OrgFixedWidthBlock"/>
    <w:basedOn w:val="PreformattedText"/>
    <w:qFormat/>
    <w:pPr>
      <w:pBdr>
        <w:top w:val="single" w:sz="2" w:space="4" w:color="000000"/>
        <w:left w:val="single" w:sz="2" w:space="4" w:color="000000"/>
        <w:bottom w:val="single" w:sz="2" w:space="4" w:color="000000"/>
        <w:right w:val="single" w:sz="2" w:space="4" w:color="000000"/>
      </w:pBdr>
      <w:shd w:fill="F0F8FF" w:val="clear"/>
    </w:pPr>
    <w:rPr/>
  </w:style>
  <w:style w:type="paragraph" w:styleId="OrgFixedWidthBlockLastLine">
    <w:name w:val="OrgFixedWidthBlockLastLine"/>
    <w:basedOn w:val="OrgFixedWidthBlock"/>
    <w:qFormat/>
    <w:pPr>
      <w:spacing w:before="0" w:after="119"/>
    </w:pPr>
    <w:rPr/>
  </w:style>
  <w:style w:type="paragraph" w:styleId="PageBreak">
    <w:name w:val="PageBreak"/>
    <w:basedOn w:val="BodyText"/>
    <w:qFormat/>
    <w:pPr>
      <w:pageBreakBefore/>
    </w:pPr>
    <w:rPr/>
  </w:style>
  <w:style w:type="paragraph" w:styleId="OrgFormula">
    <w:name w:val="OrgFormula"/>
    <w:basedOn w:val="BodyText"/>
    <w:qFormat/>
    <w:pPr>
      <w:tabs>
        <w:tab w:val="clear" w:pos="1134"/>
        <w:tab w:val="right" w:pos="9808" w:leader="none"/>
      </w:tabs>
    </w:pPr>
    <w:rPr/>
  </w:style>
  <w:style w:type="paragraph" w:styleId="Example1">
    <w:name w:val="Example1"/>
    <w:qFormat/>
    <w:pPr>
      <w:widowControl w:val="false"/>
      <w:pBdr>
        <w:top w:val="single" w:sz="4" w:space="8" w:color="000000"/>
        <w:left w:val="single" w:sz="4" w:space="8" w:color="000000"/>
        <w:bottom w:val="single" w:sz="4" w:space="8" w:color="000000"/>
        <w:right w:val="single" w:sz="4" w:space="8" w:color="000000"/>
      </w:pBdr>
      <w:shd w:fill="F7F7F7" w:val="clear"/>
      <w:bidi w:val="0"/>
      <w:spacing w:lineRule="auto" w:line="312" w:before="170" w:after="170"/>
      <w:ind w:left="170" w:right="170"/>
    </w:pPr>
    <w:rPr>
      <w:rFonts w:ascii="Libertinus Serif;Linux Libertine O;Times New Roman" w:hAnsi="Libertinus Serif;Linux Libertine O;Times New Roman"/>
      <w:sz w:val="20"/>
      <w:lang w:val="en-US" w:eastAsia="zh-CN" w:bidi="hi-IN"/>
    </w:rPr>
  </w:style>
  <w:style w:type="paragraph" w:styleId="OrgSrcBlock">
    <w:name w:val="OrgSrcBlock"/>
    <w:basedOn w:val="PreformattedText"/>
    <w:qFormat/>
    <w:pPr>
      <w:pBdr>
        <w:top w:val="single" w:sz="4" w:space="1" w:color="000000"/>
        <w:left w:val="single" w:sz="4" w:space="1" w:color="000000"/>
        <w:bottom w:val="single" w:sz="4" w:space="1" w:color="000000"/>
        <w:right w:val="single" w:sz="4" w:space="1" w:color="000000"/>
      </w:pBdr>
      <w:shd w:fill="EDEDED" w:val="clear"/>
    </w:pPr>
    <w:rPr>
      <w:color w:val="2E3436"/>
    </w:rPr>
  </w:style>
  <w:style w:type="paragraph" w:styleId="OrgCenter">
    <w:name w:val="OrgCenter"/>
    <w:basedOn w:val="BodyText"/>
    <w:qFormat/>
    <w:pPr>
      <w:jc w:val="center"/>
    </w:pPr>
    <w:rPr/>
  </w:style>
  <w:style w:type="paragraph" w:styleId="OrgFootnoteCenter">
    <w:name w:val="OrgFootnoteCenter"/>
    <w:basedOn w:val="FootnoteText"/>
    <w:qFormat/>
    <w:pPr>
      <w:jc w:val="center"/>
    </w:pPr>
    <w:rPr/>
  </w:style>
  <w:style w:type="paragraph" w:styleId="OrgTableContents">
    <w:name w:val="OrgTableContents"/>
    <w:basedOn w:val="BodyText"/>
    <w:qFormat/>
    <w:pPr/>
    <w:rPr/>
  </w:style>
  <w:style w:type="paragraph" w:styleId="OrgTableHeading">
    <w:name w:val="OrgTableHeading"/>
    <w:basedOn w:val="OrgTableContents"/>
    <w:qFormat/>
    <w:pPr>
      <w:suppressLineNumbers/>
      <w:jc w:val="center"/>
    </w:pPr>
    <w:rPr>
      <w:b/>
      <w:bCs/>
    </w:rPr>
  </w:style>
  <w:style w:type="paragraph" w:styleId="OrgTableHeadingLeft">
    <w:name w:val="OrgTableHeadingLeft"/>
    <w:basedOn w:val="OrgTableHeading"/>
    <w:qFormat/>
    <w:pPr>
      <w:jc w:val="left"/>
    </w:pPr>
    <w:rPr>
      <w:sz w:val="20"/>
      <w:szCs w:val="20"/>
    </w:rPr>
  </w:style>
  <w:style w:type="paragraph" w:styleId="OrgTableHeadingRight">
    <w:name w:val="OrgTableHeadingRight"/>
    <w:basedOn w:val="OrgTableHeading"/>
    <w:qFormat/>
    <w:pPr>
      <w:jc w:val="right"/>
    </w:pPr>
    <w:rPr>
      <w:sz w:val="20"/>
      <w:szCs w:val="20"/>
    </w:rPr>
  </w:style>
  <w:style w:type="paragraph" w:styleId="OrgTableHeadingCenter">
    <w:name w:val="OrgTableHeadingCenter"/>
    <w:basedOn w:val="OrgTableHeading"/>
    <w:qFormat/>
    <w:pPr>
      <w:jc w:val="center"/>
    </w:pPr>
    <w:rPr/>
  </w:style>
  <w:style w:type="paragraph" w:styleId="OrgTableContentsLeft">
    <w:name w:val="OrgTableContentsLeft"/>
    <w:basedOn w:val="OrgTableContents"/>
    <w:qFormat/>
    <w:pPr>
      <w:jc w:val="left"/>
    </w:pPr>
    <w:rPr>
      <w:sz w:val="16"/>
      <w:szCs w:val="20"/>
    </w:rPr>
  </w:style>
  <w:style w:type="paragraph" w:styleId="OrgTableContentsRight">
    <w:name w:val="OrgTableContentsRight"/>
    <w:basedOn w:val="OrgTableContents"/>
    <w:qFormat/>
    <w:pPr>
      <w:jc w:val="right"/>
    </w:pPr>
    <w:rPr>
      <w:sz w:val="16"/>
      <w:szCs w:val="20"/>
    </w:rPr>
  </w:style>
  <w:style w:type="paragraph" w:styleId="OrgTableContentsCenter">
    <w:name w:val="OrgTableContentsCenter"/>
    <w:basedOn w:val="OrgTableContents"/>
    <w:qFormat/>
    <w:pPr>
      <w:jc w:val="center"/>
    </w:pPr>
    <w:rPr/>
  </w:style>
  <w:style w:type="paragraph" w:styleId="Textbodybold">
    <w:name w:val="Text body bold"/>
    <w:basedOn w:val="BodyText"/>
    <w:next w:val="BodyText"/>
    <w:qFormat/>
    <w:pPr/>
    <w:rPr>
      <w:b/>
    </w:rPr>
  </w:style>
  <w:style w:type="paragraph" w:styleId="CourseCredentials">
    <w:name w:val="Course Credentials"/>
    <w:basedOn w:val="BodyText"/>
    <w:qFormat/>
    <w:pPr>
      <w:jc w:val="center"/>
    </w:pPr>
    <w:rPr>
      <w:rFonts w:ascii="Tahoma1" w:hAnsi="Tahoma1"/>
      <w:i/>
      <w:color w:val="2AA198"/>
      <w:sz w:val="24"/>
    </w:rPr>
  </w:style>
  <w:style w:type="paragraph" w:styleId="Baggrund">
    <w:name w:val="Baggrund"/>
    <w:qFormat/>
    <w:pPr>
      <w:widowControl w:val="false"/>
      <w:shd w:fill="FFFFE0" w:val="clear"/>
      <w:bidi w:val="0"/>
      <w:spacing w:lineRule="auto" w:line="480" w:before="170" w:after="170"/>
      <w:ind w:left="170" w:right="170"/>
      <w:jc w:val="left"/>
    </w:pPr>
    <w:rPr>
      <w:rFonts w:ascii="Times New Roman" w:hAnsi="Times New Roman"/>
      <w:sz w:val="20"/>
      <w:lang w:val="en-US" w:eastAsia="zh-CN" w:bidi="hi-IN"/>
    </w:rPr>
  </w:style>
  <w:style w:type="paragraph" w:styleId="DineSvar">
    <w:name w:val="DineSvar"/>
    <w:qFormat/>
    <w:pPr>
      <w:widowControl w:val="false"/>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pPr>
    <w:rPr>
      <w:rFonts w:ascii="Times New Roman" w:hAnsi="Times New Roman"/>
      <w:sz w:val="20"/>
      <w:lang w:val="en-US" w:eastAsia="zh-CN" w:bidi="hi-IN"/>
    </w:rPr>
  </w:style>
  <w:style w:type="paragraph" w:styleId="RetteNoegle">
    <w:name w:val="RetteNoegle"/>
    <w:qFormat/>
    <w:pPr>
      <w:widowControl w:val="false"/>
      <w:pBdr>
        <w:top w:val="single" w:sz="4" w:space="1" w:color="000000"/>
        <w:left w:val="single" w:sz="4" w:space="1" w:color="000000"/>
        <w:bottom w:val="single" w:sz="4" w:space="1" w:color="000000"/>
        <w:right w:val="single" w:sz="4" w:space="1" w:color="000000"/>
      </w:pBdr>
      <w:shd w:fill="F1DEFC" w:val="clear"/>
      <w:bidi w:val="0"/>
      <w:spacing w:lineRule="auto" w:line="240" w:before="170" w:after="170"/>
      <w:ind w:hanging="0" w:left="170" w:right="170"/>
      <w:jc w:val="left"/>
    </w:pPr>
    <w:rPr>
      <w:rFonts w:ascii="Times New Roman" w:hAnsi="Times New Roman"/>
      <w:sz w:val="20"/>
      <w:lang w:val="en-US" w:eastAsia="zh-CN" w:bidi="hi-IN"/>
    </w:rPr>
  </w:style>
  <w:style w:type="paragraph" w:styleId="FootnoteText">
    <w:name w:val="Footnote Text"/>
    <w:basedOn w:val="Normal"/>
    <w:pPr>
      <w:suppressLineNumbers/>
      <w:ind w:hanging="283" w:left="283" w:right="0"/>
    </w:pPr>
    <w:rPr>
      <w:sz w:val="20"/>
      <w:szCs w:val="20"/>
    </w:rPr>
  </w:style>
  <w:style w:type="paragraph" w:styleId="Figure">
    <w:name w:val="Figure"/>
    <w:basedOn w:val="Caption"/>
    <w:qFormat/>
    <w:pPr/>
    <w:rPr/>
  </w:style>
  <w:style w:type="paragraph" w:styleId="IllustrationIndexHeading">
    <w:name w:val="Illustration Index Heading"/>
    <w:basedOn w:val="Heading"/>
    <w:qFormat/>
    <w:pPr>
      <w:suppressLineNumbers/>
      <w:ind w:hanging="0" w:left="0" w:right="0"/>
    </w:pPr>
    <w:rPr>
      <w:b/>
      <w:bCs/>
      <w:sz w:val="32"/>
      <w:szCs w:val="32"/>
    </w:rPr>
  </w:style>
  <w:style w:type="paragraph" w:styleId="Table">
    <w:name w:val="Table"/>
    <w:basedOn w:val="Caption"/>
    <w:qFormat/>
    <w:pPr>
      <w:jc w:val="center"/>
    </w:pPr>
    <w:rPr/>
  </w:style>
  <w:style w:type="paragraph" w:styleId="Listing">
    <w:name w:val="Listing"/>
    <w:basedOn w:val="Caption"/>
    <w:qFormat/>
    <w:pPr>
      <w:keepNext w:val="true"/>
      <w:tabs>
        <w:tab w:val="clear" w:pos="1134"/>
      </w:tabs>
      <w:ind w:hanging="0" w:left="0" w:right="0"/>
    </w:pPr>
    <w:rPr/>
  </w:style>
  <w:style w:type="paragraph" w:styleId="HorizontalLine">
    <w:name w:val="Horizontal Line"/>
    <w:basedOn w:val="Normal"/>
    <w:next w:val="BodyText"/>
    <w:qFormat/>
    <w:pPr>
      <w:suppressLineNumbers/>
      <w:pBdr>
        <w:bottom w:val="single" w:sz="2" w:space="0" w:color="000000"/>
      </w:pBdr>
      <w:spacing w:before="0" w:after="119"/>
    </w:pPr>
    <w:rPr>
      <w:sz w:val="12"/>
      <w:szCs w:val="12"/>
    </w:rPr>
  </w:style>
  <w:style w:type="paragraph" w:styleId="OrgInlineTaskHeading">
    <w:name w:val="OrgInlineTaskHeading"/>
    <w:basedOn w:val="Caption"/>
    <w:next w:val="BodyText"/>
    <w:qFormat/>
    <w:pPr/>
    <w:rPr>
      <w:b/>
      <w:i w:val="false"/>
    </w:rPr>
  </w:style>
  <w:style w:type="paragraph" w:styleId="HeaderandFooter">
    <w:name w:val="Header and Footer"/>
    <w:basedOn w:val="Normal"/>
    <w:qFormat/>
    <w:pPr>
      <w:suppressLineNumbers/>
      <w:tabs>
        <w:tab w:val="clear" w:pos="1134"/>
        <w:tab w:val="center" w:pos="4989" w:leader="none"/>
        <w:tab w:val="right" w:pos="980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numbering" w:styleId="Numbering1">
    <w:name w:val="Numbering 1"/>
    <w:qFormat/>
  </w:style>
  <w:style w:type="numbering" w:styleId="Bullet">
    <w:name w:val="Bullet •"/>
    <w:qFormat/>
  </w:style>
  <w:style w:type="numbering" w:styleId="OrgNumberedList">
    <w:name w:val="OrgNumberedList"/>
    <w:qFormat/>
  </w:style>
  <w:style w:type="numbering" w:styleId="OrgBulletedList">
    <w:name w:val="OrgBulletedList"/>
    <w:qFormat/>
  </w:style>
  <w:style w:type="numbering" w:styleId="OrgDescriptionList">
    <w:name w:val="OrgDescriptionList"/>
    <w:qFormat/>
  </w:style>
  <w:style w:type="numbering" w:styleId="OrgSrcBlockNumberedLine">
    <w:name w:val="OrgSrcBlockNumberedLine"/>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footer" Target="footer1.xml"/><Relationship Id="rId5" Type="http://schemas.openxmlformats.org/officeDocument/2006/relationships/image" Target="media/image3.png"/><Relationship Id="rId6" Type="http://schemas.openxmlformats.org/officeDocument/2006/relationships/image" Target="media/image4.sv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2026-02-04T10:25:49Z</dcterms:created>
  <dc:creator>Thomas Alexander Gerds</dc:creator>
  <dc:description/>
  <cp:keywords/>
  <dc:language>en-US</dc:language>
  <cp:lastModifiedBy>Thomas Alexander Gerds</cp:lastModifiedBy>
  <dcterms:modified xsi:type="dcterms:W3CDTF">2026-02-04T10:25:49Z</dcterms:modified>
  <cp:revision>0</cp:revision>
  <dc:subject/>
  <dc:title>Modul 1: Holdundervisning</dc:title>
</cp:coreProperties>
</file>