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media/image4.svg" ContentType="image/sv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0" w:name="OrgXref.org9da34e3"/>
      <w:bookmarkStart w:id="1" w:name="org9da34e3"/>
      <w:bookmarkEnd w:id="1"/>
      <w:r>
        <w:rPr/>
        <w:t xml:space="preserve">Opgave 1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2" w:name="OrgXref.orgcfcf643"/>
      <w:bookmarkStart w:id="3" w:name="orgcfcf643"/>
      <w:bookmarkEnd w:id="3"/>
      <w:r>
        <w:rPr/>
        <w:t xml:space="preserve">Rettenøgle opgave 1 </w:t>
      </w:r>
      <w:bookmarkEnd w:id="2"/>
    </w:p>
    <w:p>
      <w:pPr>
        <w:pStyle w:val="Heading202unnumbered"/>
        <w:bidi w:val="0"/>
        <w:jc w:val="left"/>
        <w:outlineLvl w:val="1"/>
        <w:rPr/>
      </w:pPr>
      <w:bookmarkStart w:id="4" w:name="OrgXref.org283b2b4"/>
      <w:bookmarkStart w:id="5" w:name="org283b2b4"/>
      <w:bookmarkEnd w:id="5"/>
      <w:r>
        <w:rPr/>
        <w:t xml:space="preserve">Opgave 1.1 </w:t>
      </w:r>
      <w:bookmarkEnd w:id="4"/>
    </w:p>
    <w:p>
      <w:pPr>
        <w:pStyle w:val="OrgSrcBlockLastLine"/>
        <w:bidi w:val="0"/>
        <w:spacing w:before="0" w:after="119"/>
        <w:jc w:val="left"/>
        <w:rPr/>
      </w:pPr>
      <w:r>
        <w:rPr/>
        <w:t>Det kan man godt argumentere for, men der mangler en afgivelse af perioden ("hvornår"). Begivenheden kan være, at en person beslutter at blive veganer ("hvad") og det er personer i Danmark ("hvem"). Det ville være en kohorte, hvis man fx definerede alle personer, der flyttede til et byområde i perioden 2000-2010, og fulgte dem fremad i tid.</w:t>
      </w:r>
    </w:p>
    <w:p>
      <w:pPr>
        <w:pStyle w:val="Heading202unnumbered"/>
        <w:bidi w:val="0"/>
        <w:jc w:val="left"/>
        <w:outlineLvl w:val="1"/>
        <w:rPr/>
      </w:pPr>
      <w:bookmarkStart w:id="6" w:name="OrgXref.org433b8cd"/>
      <w:bookmarkStart w:id="7" w:name="org433b8cd"/>
      <w:bookmarkEnd w:id="7"/>
      <w:r>
        <w:rPr/>
        <w:t xml:space="preserve">Opgave 1.2 </w:t>
      </w:r>
      <w:bookmarkEnd w:id="6"/>
    </w:p>
    <w:p>
      <w:pPr>
        <w:pStyle w:val="OrgSrcBlockLastLine"/>
        <w:bidi w:val="0"/>
        <w:spacing w:before="0" w:after="119"/>
        <w:jc w:val="left"/>
        <w:rPr/>
      </w:pPr>
      <w:r>
        <w:rPr/>
        <w:t>Ind- og udvandringer påvirker Københavns befolkning, derfor er Københavns befolkning åben.</w:t>
      </w:r>
    </w:p>
    <w:p>
      <w:pPr>
        <w:pStyle w:val="Heading202unnumbered"/>
        <w:bidi w:val="0"/>
        <w:jc w:val="left"/>
        <w:outlineLvl w:val="1"/>
        <w:rPr/>
      </w:pPr>
      <w:bookmarkStart w:id="8" w:name="OrgXref.org15fbcde"/>
      <w:bookmarkStart w:id="9" w:name="org15fbcde"/>
      <w:bookmarkEnd w:id="9"/>
      <w:r>
        <w:rPr/>
        <w:t xml:space="preserve">Opgave 1.3 </w:t>
      </w:r>
      <w:bookmarkEnd w:id="8"/>
    </w:p>
    <w:p>
      <w:pPr>
        <w:pStyle w:val="OrgSrcBlockLastLine"/>
        <w:bidi w:val="0"/>
        <w:spacing w:before="0" w:after="119"/>
        <w:jc w:val="left"/>
        <w:rPr/>
      </w:pPr>
      <w:r>
        <w:rPr/>
        <w:t>Den naturlige vækstrate er differencen mellem fødselsrate og mortalitetsrate, nettovandringsraten er differencen mellem ind- og udvandringsrater. Det er sværest at bestemme nettovandringsraten, fordi man typisk ikke registrerer ind- og udvandringsdatoer præcist.</w:t>
      </w:r>
    </w:p>
    <w:p>
      <w:pPr>
        <w:pStyle w:val="Heading202unnumbered"/>
        <w:bidi w:val="0"/>
        <w:jc w:val="left"/>
        <w:outlineLvl w:val="1"/>
        <w:rPr/>
      </w:pPr>
      <w:bookmarkStart w:id="10" w:name="OrgXref.org8553766"/>
      <w:bookmarkStart w:id="11" w:name="org8553766"/>
      <w:bookmarkEnd w:id="11"/>
      <w:r>
        <w:rPr/>
        <w:t xml:space="preserve">Opgave 1.4 </w:t>
      </w:r>
      <w:bookmarkEnd w:id="10"/>
    </w:p>
    <w:p>
      <w:pPr>
        <w:pStyle w:val="OrgSrcBlockLastLine"/>
        <w:bidi w:val="0"/>
        <w:spacing w:before="0" w:after="119"/>
        <w:jc w:val="left"/>
        <w:rPr/>
      </w:pPr>
      <w:r>
        <w:rPr/>
        <w:t>Forskellen skyldes forskellen i beregningen af middelfolketal. Med metode 1 bliver mortalitetsraten 14,3 per 1000 personår, med metode 2 bliver den 14,4 per 1000 personår.</w:t>
      </w:r>
    </w:p>
    <w:p>
      <w:pPr>
        <w:pStyle w:val="Heading202unnumbered"/>
        <w:bidi w:val="0"/>
        <w:jc w:val="left"/>
        <w:outlineLvl w:val="1"/>
        <w:rPr/>
      </w:pPr>
      <w:bookmarkStart w:id="12" w:name="OrgXref.org70cf7bf"/>
      <w:bookmarkStart w:id="13" w:name="org70cf7bf"/>
      <w:bookmarkEnd w:id="13"/>
      <w:r>
        <w:rPr/>
        <w:t xml:space="preserve">Opgave 1.5 </w:t>
      </w:r>
      <w:bookmarkEnd w:id="12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folketal er /antal personer/ (til et bestemt tidspunkt).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 middelfolketal er /antal personer/ (det gennemsnittetlige antal personer i en periode).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risikotid er antal personår i en periode.</w:t>
      </w:r>
    </w:p>
    <w:p>
      <w:pPr>
        <w:pStyle w:val="OrgSrcBlockLastLine"/>
        <w:bidi w:val="0"/>
        <w:spacing w:before="0" w:after="119"/>
        <w:jc w:val="left"/>
        <w:rPr/>
      </w:pPr>
      <w:r>
        <w:rPr/>
        <w:t>Enheden for mortalitetsraten er antal døde i perioden per risikotid.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4" w:name="OrgXref.org6e4cebe"/>
      <w:bookmarkStart w:id="15" w:name="org6e4cebe"/>
      <w:bookmarkEnd w:id="15"/>
      <w:r>
        <w:rPr/>
        <w:t xml:space="preserve">Opgave 2 </w:t>
      </w:r>
      <w:bookmarkEnd w:id="14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20130"/>
            <wp:effectExtent l="0" t="0" r="0" b="0"/>
            <wp:wrapTopAndBottom/>
            <wp:docPr id="1" name="Fram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1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16" w:name="OrgXref.orgf01b748"/>
      <w:bookmarkStart w:id="17" w:name="orgf01b748"/>
      <w:bookmarkEnd w:id="17"/>
      <w:r>
        <w:rPr/>
        <w:t xml:space="preserve">Rettenøgle opgave 2 </w:t>
      </w:r>
      <w:bookmarkEnd w:id="16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Perioden varer fra 1 april 2013 til 13 maj 2013. Perioden er 6 uger lang.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Folketal den 1 april 2013 (N(1 apr 2013)) er 3 personer og folketal den 13 maj 2013 er 2 personer.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For at beregne middelfolketallet eksakt summerer vi risikotiderne fra de 5 personer (2+4+6+1+5).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Det giver 18 uger. Middelfolketallet er dermed 18/6 = 3 personer. Med metode 1 er middelfolketallet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også 3. Den er ikke 4 fordi den person som dødede lige præcis i midten af perioden ikke tæller.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Med metode 2 er middelfolketallet (3+2)/2 = 2,5. Antal døde i perioden er D[1 apr 2013, 13 maj 2013] = 2 og dermed er </w:t>
      </w:r>
    </w:p>
    <w:p>
      <w:pPr>
        <w:pStyle w:val="OrgSrcBlockLastLine"/>
        <w:bidi w:val="0"/>
        <w:spacing w:before="0" w:after="119"/>
        <w:jc w:val="left"/>
        <w:rPr/>
      </w:pPr>
      <w:r>
        <w:rPr/>
        <w:t>mortalitetsraten[1 apr 2013, 13 maj 2013] = 2/18 = 0,11 døde per personuge.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8" w:name="OrgXref.org9be3dbe"/>
      <w:bookmarkStart w:id="19" w:name="org9be3dbe"/>
      <w:bookmarkEnd w:id="19"/>
      <w:r>
        <w:rPr/>
        <w:t xml:space="preserve">Opgave 3 </w:t>
      </w:r>
      <w:bookmarkEnd w:id="18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2unnumbered"/>
        <w:bidi w:val="0"/>
        <w:jc w:val="left"/>
        <w:outlineLvl w:val="1"/>
        <w:rPr/>
      </w:pPr>
      <w:bookmarkStart w:id="20" w:name="OrgXref.orgda4ef95"/>
      <w:bookmarkStart w:id="21" w:name="orgda4ef95"/>
      <w:bookmarkEnd w:id="21"/>
      <w:r>
        <w:rPr/>
        <w:t xml:space="preserve">Rettenøgle opgave 3 </w:t>
      </w:r>
      <w:bookmarkEnd w:id="20"/>
    </w:p>
    <w:p>
      <w:pPr>
        <w:pStyle w:val="Heading203unnumbered"/>
        <w:bidi w:val="0"/>
        <w:jc w:val="left"/>
        <w:outlineLvl w:val="2"/>
        <w:rPr/>
      </w:pPr>
      <w:bookmarkStart w:id="22" w:name="OrgXref.orgf2bd1c9"/>
      <w:bookmarkStart w:id="23" w:name="orgf2bd1c9"/>
      <w:bookmarkEnd w:id="23"/>
      <w:r>
        <w:rPr/>
        <w:t xml:space="preserve">Tabel </w:t>
      </w:r>
      <w:bookmarkEnd w:id="22"/>
    </w:p>
    <w:p>
      <w:pPr>
        <w:sectPr>
          <w:footerReference w:type="default" r:id="rId4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600" w:charSpace="32768"/>
        </w:sectPr>
      </w:pPr>
    </w:p>
    <w:tbl>
      <w:tblPr>
        <w:tblW w:w="4800" w:type="pct"/>
        <w:jc w:val="center"/>
        <w:tblInd w:w="0" w:type="dxa"/>
        <w:tblLayout w:type="fixed"/>
        <w:tblCellMar>
          <w:top w:w="22" w:type="dxa"/>
          <w:left w:w="22" w:type="dxa"/>
          <w:bottom w:w="22" w:type="dxa"/>
          <w:right w:w="22" w:type="dxa"/>
        </w:tblCellMar>
      </w:tblPr>
      <w:tblGrid>
        <w:gridCol w:w="1850"/>
        <w:gridCol w:w="1850"/>
        <w:gridCol w:w="1851"/>
        <w:gridCol w:w="1850"/>
        <w:gridCol w:w="1851"/>
      </w:tblGrid>
      <w:tr>
        <w:trPr>
          <w:tblHeader w:val="true"/>
        </w:trPr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Periode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Middelfolketal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Risikotid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Døde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HeadingRight"/>
              <w:bidi w:val="0"/>
              <w:spacing w:before="0" w:after="120"/>
              <w:jc w:val="right"/>
              <w:rPr/>
            </w:pPr>
            <w:r>
              <w:rPr/>
              <w:t>Mortalitet</w:t>
            </w:r>
          </w:p>
        </w:tc>
      </w:tr>
      <w:tr>
        <w:trPr/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2013-2014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569812.0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1139624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7917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6.9</w:t>
            </w:r>
          </w:p>
        </w:tc>
      </w:tr>
      <w:tr>
        <w:trPr/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2023-2024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660381.5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1320763</w:t>
            </w:r>
          </w:p>
        </w:tc>
        <w:tc>
          <w:tcPr>
            <w:tcW w:w="18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7103</w:t>
            </w:r>
          </w:p>
        </w:tc>
        <w:tc>
          <w:tcPr>
            <w:tcW w:w="185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OrgTableContentsRight"/>
              <w:bidi w:val="0"/>
              <w:spacing w:before="0" w:after="120"/>
              <w:jc w:val="right"/>
              <w:rPr/>
            </w:pPr>
            <w:r>
              <w:rPr/>
              <w:t>5.4</w:t>
            </w:r>
          </w:p>
        </w:tc>
      </w:tr>
    </w:tbl>
    <w:p>
      <w:pPr>
        <w:sectPr>
          <w:type w:val="continuous"/>
          <w:pgSz w:w="11906" w:h="16838"/>
          <w:pgMar w:left="1134" w:right="1134" w:gutter="0" w:header="0" w:top="1134" w:footer="1134" w:bottom="1693"/>
          <w:formProt w:val="false"/>
          <w:textDirection w:val="lrTb"/>
          <w:docGrid w:type="default" w:linePitch="600" w:charSpace="32768"/>
        </w:sectPr>
      </w:pPr>
    </w:p>
    <w:p>
      <w:pPr>
        <w:pStyle w:val="Heading203unnumbered"/>
        <w:bidi w:val="0"/>
        <w:jc w:val="left"/>
        <w:outlineLvl w:val="2"/>
        <w:rPr/>
      </w:pPr>
      <w:bookmarkStart w:id="24" w:name="OrgXref.orga3fb020"/>
      <w:bookmarkStart w:id="25" w:name="orga3fb020"/>
      <w:bookmarkEnd w:id="25"/>
      <w:r>
        <w:rPr/>
        <w:t xml:space="preserve">Resultater </w:t>
      </w:r>
      <w:bookmarkEnd w:id="24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perioden 2013 til 2014 var middelfolketallet 569812 personer og det samlede risikotid var 1139624 personår.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Mortalitetsraten var 6,9 døde per 1.000 personår.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perioden 2023 til 2024 var middelfolketallet 660381.5 personer og det samlede risikotid var 1320763 personår. Mortalitetsraten var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5,4 per 1.000 personår.</w:t>
      </w:r>
    </w:p>
    <w:p>
      <w:pPr>
        <w:pStyle w:val="OrgSrcBlockLastLine"/>
        <w:bidi w:val="0"/>
        <w:spacing w:before="0" w:after="119"/>
        <w:jc w:val="left"/>
        <w:rPr/>
      </w:pPr>
      <w:r>
        <w:rPr/>
        <w:t>Folketallet i København er steget mellem de to perioder, mens mortalitetsraten er faldet med 1,5 dødsfald per 1.000 personår.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6" w:name="OrgXref.org17e249f"/>
      <w:bookmarkStart w:id="27" w:name="org17e249f"/>
      <w:bookmarkEnd w:id="27"/>
      <w:r>
        <w:rPr/>
        <w:t xml:space="preserve">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8" w:name="OrgXref.orgce61862"/>
      <w:bookmarkStart w:id="29" w:name="orgce61862"/>
      <w:bookmarkEnd w:id="29"/>
      <w:r>
        <w:rPr/>
        <w:t xml:space="preserve">Rettenøgle opgave 4 </w:t>
      </w:r>
      <w:bookmarkEnd w:id="28"/>
    </w:p>
    <w:p>
      <w:pPr>
        <w:pStyle w:val="BodyText"/>
        <w:bidi w:val="0"/>
        <w:spacing w:before="0" w:after="120"/>
        <w:jc w:val="lef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60445"/>
            <wp:effectExtent l="0" t="0" r="0" b="0"/>
            <wp:wrapTopAndBottom/>
            <wp:docPr id="2" name="Fram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rame2" descr="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Generelt steg Danmarks folketal kraftigt siden 1800-tallet og frem til i dag (Kompendium, Kapitel 1, Figur 1).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Denne udvikling kan forstås som resultatet af samspillet mellem naturlig befolkningstilvækst,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indenlandsk og international migration (Kompendium, Kapitel 1, Afsnit 6). 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Udviklingen i Jylland følger udviklingen i hele landet rimlig tæt.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Udviklingen af folketal i hovedstadsområdet ser anderledes ud. I 1800 havde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hovedstaden (København plus Frederiksberg og Gentofte) omkring 90.000 indbyggere.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løbet af det 19. århundrede accelererede befolkningstilvæksten markant indtil 1950, hvor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folketallet i hovedstadsområdet nåede sit historiske maksimum. I 1950 var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folketallet 974.901 og dermed cirka 10 gang højere end i 1787. 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de efterfølgende årtier oplevede hovedstaden imidlertid en betydelig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befolkningsnedgang, drevet af nettofraflytning til forstæderne. Denne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proces kan fortolkes som et klassisk eksempel på suburbanisering, hvor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stigende velstand, udbygning af transportinfrastruktur og ændrede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boligpræferencer førte til en omfordeling af befolkningen inden for</w:t>
      </w:r>
    </w:p>
    <w:p>
      <w:pPr>
        <w:pStyle w:val="OrgSrcBlockLastLine"/>
        <w:bidi w:val="0"/>
        <w:spacing w:before="0" w:after="119"/>
        <w:jc w:val="left"/>
        <w:rPr/>
      </w:pPr>
      <w:r>
        <w:rPr/>
        <w:t>hovedstadsregionen snarere end et egentligt regionalt befolkningstab.</w:t>
      </w:r>
    </w:p>
    <w:sectPr>
      <w:type w:val="continuous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mirrorMargi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48"/>
      <w:shd w:fill="FFB6C1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basedOn w:val="OrgSrcBlock"/>
    <w:qFormat/>
    <w:pPr>
      <w:spacing w:before="0" w:after="119"/>
    </w:pPr>
    <w:rPr/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>
      <w:jc w:val="center"/>
    </w:pPr>
    <w:rPr>
      <w:sz w:val="48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EEEEC" w:val="clear"/>
    </w:pPr>
    <w:rPr>
      <w:color w:val="2E34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footer" Target="footer1.xm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2026-02-01T15:50:17Z</dcterms:created>
  <dc:creator>Thomas Alexander Gerds</dc:creator>
  <dc:description/>
  <cp:keywords/>
  <dc:language>en-US</dc:language>
  <cp:lastModifiedBy>Thomas Alexander Gerds</cp:lastModifiedBy>
  <dcterms:modified xsi:type="dcterms:W3CDTF">2026-02-01T15:50:17Z</dcterms:modified>
  <cp:revision>0</cp:revision>
  <dc:subject/>
  <dc:title>Modul 1</dc:title>
</cp:coreProperties>
</file>