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1F6FE0"/>
          <w:spacing w:val="40"/>
          <w:sz w:val="20"/>
          <w:szCs w:val="20"/>
        </w:rPr>
        <w:t xml:space="preserve">TSUNAGU MEMBER PORTAL</w:t>
      </w:r>
    </w:p>
    <w:p>
      <w:pPr>
        <w:spacing w:after="60" w:line="420"/>
      </w:pPr>
      <w:r>
        <w:rPr>
          <w:b/>
          <w:bCs/>
          <w:color w:val="11295A"/>
          <w:sz w:val="52"/>
          <w:szCs w:val="52"/>
        </w:rPr>
        <w:t xml:space="preserve">つなぐ依頼ページ</w:t>
      </w:r>
    </w:p>
    <w:p>
      <w:pPr>
        <w:spacing w:after="160" w:line="420"/>
      </w:pPr>
      <w:r>
        <w:rPr>
          <w:b/>
          <w:bCs/>
          <w:color w:val="11295A"/>
          <w:sz w:val="52"/>
          <w:szCs w:val="52"/>
        </w:rPr>
        <w:t xml:space="preserve">拡張設計書</w:t>
      </w:r>
    </w:p>
    <w:p>
      <w:pPr>
        <w:pBdr>
          <w:bottom w:val="single" w:color="1F6FE0" w:sz="12" w:space="10"/>
        </w:pBdr>
        <w:spacing w:after="360"/>
      </w:pPr>
      <w:r>
        <w:rPr>
          <w:color w:val="5D6B7E"/>
          <w:sz w:val="28"/>
          <w:szCs w:val="28"/>
        </w:rPr>
        <w:t xml:space="preserve">広告枠の追加・外部連携（調速／Excel）</w:t>
      </w:r>
    </w:p>
    <w:p>
      <w:pPr>
        <w:spacing w:after="360"/>
      </w:pPr>
      <w:r>
        <w:rPr>
          <w:b/>
          <w:bCs/>
          <w:color w:val="7A5410"/>
          <w:sz w:val="20"/>
          <w:szCs w:val="20"/>
          <w:shd w:fill="FDF3DC" w:color="auto" w:val="clear"/>
        </w:rPr>
        <w:t xml:space="preserve">　相談段階の設計案（未実装）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6FE0" w:sz="24"/>
              <w:bottom w:val="none" w:color="FFFFFF" w:sz="0"/>
              <w:right w:val="none" w:color="FFFFFF" w:sz="0"/>
            </w:tcBorders>
            <w:shd w:fill="EAF3FF" w:color="auto" w:val="clear"/>
            <w:tcMar>
              <w:top w:type="dxa" w:w="200"/>
              <w:left w:type="dxa" w:w="280"/>
              <w:bottom w:type="dxa" w:w="200"/>
              <w:right w:type="dxa" w:w="280"/>
            </w:tcMar>
          </w:tcPr>
          <w:p>
            <w:pPr>
              <w:spacing w:after="100"/>
            </w:pPr>
            <w:r>
              <w:rPr>
                <w:b/>
                <w:bCs/>
                <w:color w:val="11295A"/>
                <w:sz w:val="22"/>
                <w:szCs w:val="22"/>
              </w:rPr>
              <w:t xml:space="preserve">ご相談事項</w:t>
            </w:r>
          </w:p>
          <w:p>
            <w:pPr>
              <w:spacing w:after="60"/>
            </w:pPr>
            <w:r>
              <w:rPr>
                <w:sz w:val="21"/>
                <w:szCs w:val="21"/>
              </w:rPr>
              <w:t xml:space="preserve">（1）依頼サイトに「広告枠」を追加する</w:t>
            </w:r>
          </w:p>
          <w:p>
            <w:pPr>
              <w:spacing w:after="60"/>
            </w:pPr>
            <w:r>
              <w:rPr>
                <w:sz w:val="21"/>
                <w:szCs w:val="21"/>
              </w:rPr>
              <w:t xml:space="preserve">（2）依頼内容を調速の管理表へ自動転記する</w:t>
            </w:r>
          </w:p>
          <w:p>
            <w:pPr>
              <w:spacing w:after="0"/>
            </w:pPr>
            <w:r>
              <w:rPr>
                <w:sz w:val="21"/>
                <w:szCs w:val="21"/>
              </w:rPr>
              <w:t xml:space="preserve">（3）依頼内容をExcel（M365）へ自動転記する</w:t>
            </w:r>
          </w:p>
        </w:tc>
      </w:tr>
    </w:tbl>
    <w:p>
      <w:pPr>
        <w:pBdr>
          <w:bottom w:val="single" w:color="D5DDE8" w:sz="4" w:space="6"/>
        </w:pBdr>
        <w:spacing w:after="140" w:before="480"/>
      </w:pPr>
      <w:r>
        <w:rPr>
          <w:b/>
          <w:bCs/>
          <w:color w:val="11295A"/>
          <w:sz w:val="24"/>
          <w:szCs w:val="24"/>
        </w:rPr>
        <w:t xml:space="preserve">目次</w:t>
      </w:r>
    </w:p>
    <w:p>
      <w:pPr>
        <w:spacing w:after="70"/>
        <w:ind w:left="200"/>
      </w:pPr>
      <w:r>
        <w:rPr>
          <w:b/>
          <w:bCs/>
          <w:color w:val="1F6FE0"/>
          <w:sz w:val="21"/>
          <w:szCs w:val="21"/>
        </w:rPr>
        <w:t xml:space="preserve">1　</w:t>
      </w:r>
      <w:r>
        <w:rPr>
          <w:sz w:val="21"/>
          <w:szCs w:val="21"/>
        </w:rPr>
        <w:t xml:space="preserve">結論：3件とも実現可能</w:t>
      </w:r>
    </w:p>
    <w:p>
      <w:pPr>
        <w:spacing w:after="70"/>
        <w:ind w:left="200"/>
      </w:pPr>
      <w:r>
        <w:rPr>
          <w:b/>
          <w:bCs/>
          <w:color w:val="1F6FE0"/>
          <w:sz w:val="21"/>
          <w:szCs w:val="21"/>
        </w:rPr>
        <w:t xml:space="preserve">2　</w:t>
      </w:r>
      <w:r>
        <w:rPr>
          <w:sz w:val="21"/>
          <w:szCs w:val="21"/>
        </w:rPr>
        <w:t xml:space="preserve">広告枠の追加</w:t>
      </w:r>
      <w:r>
        <w:rPr>
          <w:color w:val="5D6B7E"/>
          <w:sz w:val="17"/>
          <w:szCs w:val="17"/>
        </w:rPr>
        <w:t xml:space="preserve">　ご相談（1）</w:t>
      </w:r>
    </w:p>
    <w:p>
      <w:pPr>
        <w:spacing w:after="70"/>
        <w:ind w:left="200"/>
      </w:pPr>
      <w:r>
        <w:rPr>
          <w:b/>
          <w:bCs/>
          <w:color w:val="1F6FE0"/>
          <w:sz w:val="21"/>
          <w:szCs w:val="21"/>
        </w:rPr>
        <w:t xml:space="preserve">3　</w:t>
      </w:r>
      <w:r>
        <w:rPr>
          <w:sz w:val="21"/>
          <w:szCs w:val="21"/>
        </w:rPr>
        <w:t xml:space="preserve">外部連携の共通基盤</w:t>
      </w:r>
      <w:r>
        <w:rPr>
          <w:color w:val="5D6B7E"/>
          <w:sz w:val="17"/>
          <w:szCs w:val="17"/>
        </w:rPr>
        <w:t xml:space="preserve">　ご相談（2）（3）共通</w:t>
      </w:r>
    </w:p>
    <w:p>
      <w:pPr>
        <w:spacing w:after="70"/>
        <w:ind w:left="200"/>
      </w:pPr>
      <w:r>
        <w:rPr>
          <w:b/>
          <w:bCs/>
          <w:color w:val="1F6FE0"/>
          <w:sz w:val="21"/>
          <w:szCs w:val="21"/>
        </w:rPr>
        <w:t xml:space="preserve">4　</w:t>
      </w:r>
      <w:r>
        <w:rPr>
          <w:sz w:val="21"/>
          <w:szCs w:val="21"/>
        </w:rPr>
        <w:t xml:space="preserve">Excel（M365／SharePoint）連携</w:t>
      </w:r>
      <w:r>
        <w:rPr>
          <w:color w:val="5D6B7E"/>
          <w:sz w:val="17"/>
          <w:szCs w:val="17"/>
        </w:rPr>
        <w:t xml:space="preserve">　ご相談（3）</w:t>
      </w:r>
    </w:p>
    <w:p>
      <w:pPr>
        <w:spacing w:after="70"/>
        <w:ind w:left="200"/>
      </w:pPr>
      <w:r>
        <w:rPr>
          <w:b/>
          <w:bCs/>
          <w:color w:val="1F6FE0"/>
          <w:sz w:val="21"/>
          <w:szCs w:val="21"/>
        </w:rPr>
        <w:t xml:space="preserve">5　</w:t>
      </w:r>
      <w:r>
        <w:rPr>
          <w:sz w:val="21"/>
          <w:szCs w:val="21"/>
        </w:rPr>
        <w:t xml:space="preserve">調速（Next.js／Supabase／Vercel）連携の概要</w:t>
      </w:r>
      <w:r>
        <w:rPr>
          <w:color w:val="5D6B7E"/>
          <w:sz w:val="17"/>
          <w:szCs w:val="17"/>
        </w:rPr>
        <w:t xml:space="preserve">　ご相談（2）</w:t>
      </w:r>
    </w:p>
    <w:p>
      <w:pPr>
        <w:spacing w:after="70"/>
        <w:ind w:left="200"/>
      </w:pPr>
      <w:r>
        <w:rPr>
          <w:b/>
          <w:bCs/>
          <w:color w:val="1F6FE0"/>
          <w:sz w:val="21"/>
          <w:szCs w:val="21"/>
        </w:rPr>
        <w:t xml:space="preserve">6　</w:t>
      </w:r>
      <w:r>
        <w:rPr>
          <w:sz w:val="21"/>
          <w:szCs w:val="21"/>
        </w:rPr>
        <w:t xml:space="preserve">実施順序・スケジュール案</w:t>
      </w:r>
    </w:p>
    <w:p>
      <w:pPr>
        <w:spacing w:after="70"/>
        <w:ind w:left="200"/>
      </w:pPr>
      <w:r>
        <w:rPr>
          <w:b/>
          <w:bCs/>
          <w:color w:val="1F6FE0"/>
          <w:sz w:val="21"/>
          <w:szCs w:val="21"/>
        </w:rPr>
        <w:t xml:space="preserve">7　</w:t>
      </w:r>
      <w:r>
        <w:rPr>
          <w:sz w:val="21"/>
          <w:szCs w:val="21"/>
        </w:rPr>
        <w:t xml:space="preserve">決めていただきたいこと</w:t>
      </w:r>
    </w:p>
    <w:p>
      <w:pPr>
        <w:spacing w:after="70"/>
        <w:ind w:left="200"/>
      </w:pPr>
      <w:r>
        <w:rPr>
          <w:b/>
          <w:bCs/>
          <w:color w:val="1F6FE0"/>
          <w:sz w:val="21"/>
          <w:szCs w:val="21"/>
        </w:rPr>
        <w:t xml:space="preserve">付録　</w:t>
      </w:r>
      <w:r>
        <w:rPr>
          <w:sz w:val="21"/>
          <w:szCs w:val="21"/>
        </w:rPr>
        <w:t xml:space="preserve">送信データの共通形式と項目一覧</w:t>
      </w:r>
    </w:p>
    <w:p>
      <w:pPr>
        <w:spacing w:after="40" w:before="600"/>
      </w:pPr>
      <w:r>
        <w:rPr>
          <w:color w:val="5D6B7E"/>
          <w:sz w:val="19"/>
          <w:szCs w:val="19"/>
        </w:rPr>
        <w:t xml:space="preserve">作成日　2026年10月7日</w:t>
      </w:r>
    </w:p>
    <w:p>
      <w:pPr>
        <w:spacing w:after="0"/>
      </w:pPr>
      <w:r>
        <w:rPr>
          <w:color w:val="5D6B7E"/>
          <w:sz w:val="19"/>
          <w:szCs w:val="19"/>
        </w:rPr>
        <w:t xml:space="preserve">版数　　1.0</w:t>
      </w:r>
    </w:p>
    <w:p>
      <w:pPr>
        <w:pStyle w:val="Heading1"/>
        <w:pageBreakBefore/>
      </w:pPr>
      <w:r>
        <w:rPr>
          <w:color w:val="1F6FE0"/>
        </w:rPr>
        <w:t xml:space="preserve">1　</w:t>
      </w:r>
      <w:r>
        <w:t xml:space="preserve">結論：3件とも実現可能</w:t>
      </w:r>
    </w:p>
    <w:p>
      <w:r>
        <w:t xml:space="preserve">3件とも追加プラグイン・有料サービスなしで実現できます。（2）と（3）は「送信フック → 外部へ送る」という同じ仕組みで作れるため、共通基盤を一度作れば送り先を増やすだけで済みます。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576"/>
        <w:gridCol w:w="823"/>
        <w:gridCol w:w="1977"/>
        <w:gridCol w:w="3791"/>
      </w:tblGrid>
      <w:tr>
        <w:trPr>
          <w:cantSplit/>
          <w:tblHeader/>
        </w:trPr>
        <w:tc>
          <w:tcPr>
            <w:tcW w:type="dxa" w:w="2471"/>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項目</w:t>
            </w:r>
          </w:p>
        </w:tc>
        <w:tc>
          <w:tcPr>
            <w:tcW w:type="dxa" w:w="576"/>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可否</w:t>
            </w:r>
          </w:p>
        </w:tc>
        <w:tc>
          <w:tcPr>
            <w:tcW w:type="dxa" w:w="823"/>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追加費用</w:t>
            </w:r>
          </w:p>
        </w:tc>
        <w:tc>
          <w:tcPr>
            <w:tcW w:type="dxa" w:w="1977"/>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工数目安</w:t>
            </w:r>
          </w:p>
        </w:tc>
        <w:tc>
          <w:tcPr>
            <w:tcW w:type="dxa" w:w="3791"/>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前提条件</w:t>
            </w:r>
          </w:p>
        </w:tc>
      </w:tr>
      <w:tr>
        <w:trPr>
          <w:cantSplit/>
        </w:trPr>
        <w:tc>
          <w:tcPr>
            <w:tcW w:type="dxa" w:w="2471"/>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（1）広告枠の追加</w:t>
            </w:r>
          </w:p>
        </w:tc>
        <w:tc>
          <w:tcPr>
            <w:tcW w:type="dxa" w:w="5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b/>
                <w:bCs/>
                <w:color w:val="2C6B41"/>
                <w:sz w:val="18"/>
                <w:szCs w:val="18"/>
              </w:rPr>
              <w:t xml:space="preserve">可</w:t>
            </w:r>
          </w:p>
        </w:tc>
        <w:tc>
          <w:tcPr>
            <w:tcW w:type="dxa" w:w="823"/>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なし</w:t>
            </w:r>
          </w:p>
        </w:tc>
        <w:tc>
          <w:tcPr>
            <w:tcW w:type="dxa" w:w="1977"/>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1.5〜2日</w:t>
            </w:r>
          </w:p>
        </w:tc>
        <w:tc>
          <w:tcPr>
            <w:tcW w:type="dxa" w:w="3791"/>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配置位置と枠数の決定。純広告（直販）方式</w:t>
            </w:r>
          </w:p>
        </w:tc>
      </w:tr>
      <w:tr>
        <w:trPr>
          <w:cantSplit/>
        </w:trPr>
        <w:tc>
          <w:tcPr>
            <w:tcW w:type="dxa" w:w="2471"/>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（2）調速への自動転記</w:t>
            </w:r>
          </w:p>
        </w:tc>
        <w:tc>
          <w:tcPr>
            <w:tcW w:type="dxa" w:w="57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b/>
                <w:bCs/>
                <w:color w:val="2C6B41"/>
                <w:sz w:val="18"/>
                <w:szCs w:val="18"/>
              </w:rPr>
              <w:t xml:space="preserve">可</w:t>
            </w:r>
          </w:p>
        </w:tc>
        <w:tc>
          <w:tcPr>
            <w:tcW w:type="dxa" w:w="823"/>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なし</w:t>
            </w:r>
          </w:p>
        </w:tc>
        <w:tc>
          <w:tcPr>
            <w:tcW w:type="dxa" w:w="1977"/>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WP側0.5日＋調速側1日〜</w:t>
            </w:r>
          </w:p>
        </w:tc>
        <w:tc>
          <w:tcPr>
            <w:tcW w:type="dxa" w:w="3791"/>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調速側に受け口（API）を用意する</w:t>
            </w:r>
          </w:p>
        </w:tc>
      </w:tr>
      <w:tr>
        <w:trPr>
          <w:cantSplit/>
        </w:trPr>
        <w:tc>
          <w:tcPr>
            <w:tcW w:type="dxa" w:w="2471"/>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（3）Excel（M365）への自動転記</w:t>
            </w:r>
          </w:p>
        </w:tc>
        <w:tc>
          <w:tcPr>
            <w:tcW w:type="dxa" w:w="5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b/>
                <w:bCs/>
                <w:color w:val="2C6B41"/>
                <w:sz w:val="18"/>
                <w:szCs w:val="18"/>
              </w:rPr>
              <w:t xml:space="preserve">可</w:t>
            </w:r>
          </w:p>
        </w:tc>
        <w:tc>
          <w:tcPr>
            <w:tcW w:type="dxa" w:w="823"/>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なし</w:t>
            </w:r>
          </w:p>
        </w:tc>
        <w:tc>
          <w:tcPr>
            <w:tcW w:type="dxa" w:w="1977"/>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3〜4日（実験含む）</w:t>
            </w:r>
          </w:p>
        </w:tc>
        <w:tc>
          <w:tcPr>
            <w:tcW w:type="dxa" w:w="3791"/>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Entra IDへのアプリ登録（管理者作業30分）、Excelのテーブル化</w:t>
            </w:r>
          </w:p>
        </w:tc>
      </w:tr>
    </w:tbl>
    <w:p>
      <w:pPr>
        <w:spacing w:after="160" w:before="0"/>
      </w:pPr>
    </w:p>
    <w:p>
      <w:r>
        <w:t xml:space="preserve">本書の位置づけは相談段階の設計案で、未実装です。工数は開発のみで、クライアント側の確認・準備作業は含みません。</w:t>
      </w:r>
    </w:p>
    <w:p>
      <w:r>
        <w:t xml:space="preserve">注意点は3つあります。</w:t>
      </w:r>
    </w:p>
    <w:p>
      <w:pPr>
        <w:pStyle w:val="ListParagraph"/>
        <w:numPr>
          <w:ilvl w:val="0"/>
          <w:numId w:val="2"/>
        </w:numPr>
        <w:spacing w:after="60"/>
      </w:pPr>
      <w:r>
        <w:t xml:space="preserve">広告枠：会員限定サイトのためGoogle AdSense等の広告ネットワークは使えません。広告主と直接契約する純広告になります。</w:t>
      </w:r>
    </w:p>
    <w:p>
      <w:pPr>
        <w:pStyle w:val="ListParagraph"/>
        <w:numPr>
          <w:ilvl w:val="0"/>
          <w:numId w:val="2"/>
        </w:numPr>
        <w:spacing w:after="60"/>
      </w:pPr>
      <w:r>
        <w:t xml:space="preserve">Excel連携：2年ごとに認証情報（シークレット）の更新作業が発生します。</w:t>
      </w:r>
    </w:p>
    <w:p>
      <w:pPr>
        <w:pStyle w:val="ListParagraph"/>
        <w:numPr>
          <w:ilvl w:val="0"/>
          <w:numId w:val="2"/>
        </w:numPr>
        <w:spacing w:after="60"/>
      </w:pPr>
      <w:r>
        <w:t xml:space="preserve">調速連携：受け口を調速側に作る必要があるため、本書ではWP側の設計のみ扱います。</w:t>
      </w:r>
    </w:p>
    <w:p>
      <w:pPr>
        <w:pStyle w:val="Heading1"/>
        <w:pageBreakBefore/>
      </w:pPr>
      <w:r>
        <w:rPr>
          <w:color w:val="1F6FE0"/>
        </w:rPr>
        <w:t xml:space="preserve">2　</w:t>
      </w:r>
      <w:r>
        <w:t xml:space="preserve">広告枠の追加</w:t>
      </w:r>
      <w:r>
        <w:rPr>
          <w:b w:val="false"/>
          <w:bCs w:val="false"/>
          <w:color w:val="0D3FA6"/>
          <w:sz w:val="20"/>
          <w:szCs w:val="20"/>
        </w:rPr>
        <w:t xml:space="preserve">　ご相談（1）</w:t>
      </w:r>
    </w:p>
    <w:p>
      <w:r>
        <w:t xml:space="preserve">広告枠を2か所（カード上部・カード下部）に設け、固定ページのカスタムフィールドで画像・リンク・掲載期間を設定するだけで表示されるようにします。表示回数とクリック数も自動で記録し、広告主へ実績を提示できる状態にします。</w:t>
      </w:r>
    </w:p>
    <w:p>
      <w:pPr>
        <w:pStyle w:val="Heading2"/>
      </w:pPr>
      <w:r>
        <w:t xml:space="preserve">目的</w:t>
      </w:r>
    </w:p>
    <w:p>
      <w:pPr>
        <w:pStyle w:val="ListParagraph"/>
        <w:numPr>
          <w:ilvl w:val="0"/>
          <w:numId w:val="2"/>
        </w:numPr>
        <w:spacing w:after="60"/>
      </w:pPr>
      <w:r>
        <w:t xml:space="preserve">調速バナーと同様に、将来の広告売上の受け皿を用意する。</w:t>
      </w:r>
    </w:p>
    <w:p>
      <w:pPr>
        <w:pStyle w:val="ListParagraph"/>
        <w:numPr>
          <w:ilvl w:val="0"/>
          <w:numId w:val="2"/>
        </w:numPr>
        <w:spacing w:after="60"/>
      </w:pPr>
      <w:r>
        <w:t xml:space="preserve">会員（不動産会社）に絞られたサイトのため、業界向けの広告主（金融・保険・リフォーム・業務ツール等）に対して価値がある。</w:t>
      </w:r>
    </w:p>
    <w:p>
      <w:pPr>
        <w:pStyle w:val="ListParagraph"/>
        <w:numPr>
          <w:ilvl w:val="0"/>
          <w:numId w:val="2"/>
        </w:numPr>
        <w:spacing w:after="60"/>
      </w:pPr>
      <w:r>
        <w:t xml:space="preserve">会員限定ページはGoogle AdSense等のネットワーク広告を使えないため、広告主と直接契約する純広告を前提とする。</w:t>
      </w:r>
    </w:p>
    <w:p>
      <w:pPr>
        <w:pStyle w:val="Heading2"/>
      </w:pPr>
      <w:r>
        <w:t xml:space="preserve">配置案</w:t>
      </w:r>
    </w:p>
    <w:p>
      <w:pPr>
        <w:keepNext/>
        <w:spacing w:after="60" w:before="160"/>
        <w:jc w:val="center"/>
      </w:pPr>
      <w:r>
        <w:drawing>
          <wp:inline distT="0" distB="0" distL="0" distR="0">
            <wp:extent cx="6115050" cy="4457700"/>
            <wp:effectExtent t="0" r="0" b="0" l="0"/>
            <wp:docPr id="1" name="layout" descr="広告枠の配置案（PC／スマホ）" title="広告枠の配置案（PC／スマ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4457700"/>
                    </a:xfrm>
                    <a:prstGeom prst="rect">
                      <a:avLst/>
                    </a:prstGeom>
                  </pic:spPr>
                </pic:pic>
              </a:graphicData>
            </a:graphic>
          </wp:inline>
        </w:drawing>
      </w:r>
    </w:p>
    <w:p>
      <w:pPr>
        <w:spacing w:after="220"/>
        <w:jc w:val="center"/>
      </w:pPr>
      <w:r>
        <w:rPr>
          <w:color w:val="5D6B7E"/>
          <w:sz w:val="18"/>
          <w:szCs w:val="18"/>
        </w:rPr>
        <w:t xml:space="preserve">図1　広告枠の配置案（PC／スマホ）</w:t>
      </w:r>
    </w:p>
    <w:p>
      <w:r>
        <w:t xml:space="preserve">ページの上から順に並べた構成です。ヒーロー右の調速バナーは自社製品枠として据え置きます。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1108"/>
        <w:gridCol w:w="2558"/>
        <w:gridCol w:w="3755"/>
      </w:tblGrid>
      <w:tr>
        <w:trPr>
          <w:cantSplit/>
          <w:tblHeader/>
        </w:trPr>
        <w:tc>
          <w:tcPr>
            <w:tcW w:type="dxa" w:w="2217"/>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位置</w:t>
            </w:r>
          </w:p>
        </w:tc>
        <w:tc>
          <w:tcPr>
            <w:tcW w:type="dxa" w:w="1108"/>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表示端末</w:t>
            </w:r>
          </w:p>
        </w:tc>
        <w:tc>
          <w:tcPr>
            <w:tcW w:type="dxa" w:w="2558"/>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表示サイズ</w:t>
            </w:r>
          </w:p>
        </w:tc>
        <w:tc>
          <w:tcPr>
            <w:tcW w:type="dxa" w:w="3755"/>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特徴</w:t>
            </w:r>
          </w:p>
        </w:tc>
      </w:tr>
      <w:tr>
        <w:trPr>
          <w:cantSplit/>
        </w:trPr>
        <w:tc>
          <w:tcPr>
            <w:tcW w:type="dxa" w:w="2217"/>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枠A：カード上部（TOPICの下）</w:t>
            </w:r>
          </w:p>
        </w:tc>
        <w:tc>
          <w:tcPr>
            <w:tcW w:type="dxa" w:w="1108"/>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PCのみ</w:t>
            </w:r>
          </w:p>
        </w:tc>
        <w:tc>
          <w:tcPr>
            <w:tcW w:type="dxa" w:w="2558"/>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1180×120px 横長</w:t>
            </w:r>
          </w:p>
        </w:tc>
        <w:tc>
          <w:tcPr>
            <w:tcW w:type="dxa" w:w="375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最も目立つ。スマホは初見でカードが見える現行設計を崩さないため非表示</w:t>
            </w:r>
          </w:p>
        </w:tc>
      </w:tr>
      <w:tr>
        <w:trPr>
          <w:cantSplit/>
        </w:trPr>
        <w:tc>
          <w:tcPr>
            <w:tcW w:type="dxa" w:w="2217"/>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枠B：カード下部</w:t>
            </w:r>
          </w:p>
        </w:tc>
        <w:tc>
          <w:tcPr>
            <w:tcW w:type="dxa" w:w="1108"/>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PC・スマホ</w:t>
            </w:r>
          </w:p>
        </w:tc>
        <w:tc>
          <w:tcPr>
            <w:tcW w:type="dxa" w:w="2558"/>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300×250px 矩形、最大3枚（PC横並び／スマホ縦並び）</w:t>
            </w:r>
          </w:p>
        </w:tc>
        <w:tc>
          <w:tcPr>
            <w:tcW w:type="dxa" w:w="375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業界標準サイズで広告主が既存素材を流用しやすい</w:t>
            </w:r>
          </w:p>
        </w:tc>
      </w:tr>
    </w:tbl>
    <w:p>
      <w:pPr>
        <w:spacing w:after="160" w:before="0"/>
      </w:pPr>
    </w:p>
    <w:p>
      <w:pPr>
        <w:pStyle w:val="Heading2"/>
      </w:pPr>
      <w:r>
        <w:t xml:space="preserve">データ設計（ACF無料版）</w:t>
      </w:r>
    </w:p>
    <w:p>
      <w:r>
        <w:t xml:space="preserve">TOPページのカスタムフィールドに「広告枠」タブを追加します。リピーターが使えないため、枠Aは最大3枚、枠Bは3枚の固定スロットとします。各スロットの項目は次のとおりです。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9"/>
        <w:gridCol w:w="1557"/>
        <w:gridCol w:w="5842"/>
      </w:tblGrid>
      <w:tr>
        <w:trPr>
          <w:cantSplit/>
          <w:tblHeader/>
        </w:trPr>
        <w:tc>
          <w:tcPr>
            <w:tcW w:type="dxa" w:w="2239"/>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項目</w:t>
            </w:r>
          </w:p>
        </w:tc>
        <w:tc>
          <w:tcPr>
            <w:tcW w:type="dxa" w:w="1557"/>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型</w:t>
            </w:r>
          </w:p>
        </w:tc>
        <w:tc>
          <w:tcPr>
            <w:tcW w:type="dxa" w:w="5842"/>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内容</w:t>
            </w:r>
          </w:p>
        </w:tc>
      </w:tr>
      <w:tr>
        <w:trPr>
          <w:cantSplit/>
        </w:trPr>
        <w:tc>
          <w:tcPr>
            <w:tcW w:type="dxa" w:w="223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画像（PC）</w:t>
            </w:r>
          </w:p>
        </w:tc>
        <w:tc>
          <w:tcPr>
            <w:tcW w:type="dxa" w:w="1557"/>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image</w:t>
            </w:r>
          </w:p>
        </w:tc>
        <w:tc>
          <w:tcPr>
            <w:tcW w:type="dxa" w:w="5842"/>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表示サイズの2倍で入稿（高精細画面対応）</w:t>
            </w:r>
          </w:p>
        </w:tc>
      </w:tr>
      <w:tr>
        <w:trPr>
          <w:cantSplit/>
        </w:trPr>
        <w:tc>
          <w:tcPr>
            <w:tcW w:type="dxa" w:w="223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画像（スマホ）</w:t>
            </w:r>
          </w:p>
        </w:tc>
        <w:tc>
          <w:tcPr>
            <w:tcW w:type="dxa" w:w="1557"/>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image</w:t>
            </w:r>
          </w:p>
        </w:tc>
        <w:tc>
          <w:tcPr>
            <w:tcW w:type="dxa" w:w="5842"/>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任意。未設定ならPC用を縮小表示</w:t>
            </w:r>
          </w:p>
        </w:tc>
      </w:tr>
      <w:tr>
        <w:trPr>
          <w:cantSplit/>
        </w:trPr>
        <w:tc>
          <w:tcPr>
            <w:tcW w:type="dxa" w:w="223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リンク先URL</w:t>
            </w:r>
          </w:p>
        </w:tc>
        <w:tc>
          <w:tcPr>
            <w:tcW w:type="dxa" w:w="1557"/>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url</w:t>
            </w:r>
          </w:p>
        </w:tc>
        <w:tc>
          <w:tcPr>
            <w:tcW w:type="dxa" w:w="5842"/>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広告主のサイト</w:t>
            </w:r>
          </w:p>
        </w:tc>
      </w:tr>
      <w:tr>
        <w:trPr>
          <w:cantSplit/>
        </w:trPr>
        <w:tc>
          <w:tcPr>
            <w:tcW w:type="dxa" w:w="223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広告主名</w:t>
            </w:r>
          </w:p>
        </w:tc>
        <w:tc>
          <w:tcPr>
            <w:tcW w:type="dxa" w:w="1557"/>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text</w:t>
            </w:r>
          </w:p>
        </w:tc>
        <w:tc>
          <w:tcPr>
            <w:tcW w:type="dxa" w:w="5842"/>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代替テキストとレポートの表示名</w:t>
            </w:r>
          </w:p>
        </w:tc>
      </w:tr>
      <w:tr>
        <w:trPr>
          <w:cantSplit/>
        </w:trPr>
        <w:tc>
          <w:tcPr>
            <w:tcW w:type="dxa" w:w="223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掲載開始日／終了日</w:t>
            </w:r>
          </w:p>
        </w:tc>
        <w:tc>
          <w:tcPr>
            <w:tcW w:type="dxa" w:w="1557"/>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date_picker</w:t>
            </w:r>
          </w:p>
        </w:tc>
        <w:tc>
          <w:tcPr>
            <w:tcW w:type="dxa" w:w="5842"/>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期間外は自動で非表示</w:t>
            </w:r>
          </w:p>
        </w:tc>
      </w:tr>
      <w:tr>
        <w:trPr>
          <w:cantSplit/>
        </w:trPr>
        <w:tc>
          <w:tcPr>
            <w:tcW w:type="dxa" w:w="223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表示</w:t>
            </w:r>
          </w:p>
        </w:tc>
        <w:tc>
          <w:tcPr>
            <w:tcW w:type="dxa" w:w="1557"/>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true_false</w:t>
            </w:r>
          </w:p>
        </w:tc>
        <w:tc>
          <w:tcPr>
            <w:tcW w:type="dxa" w:w="5842"/>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一時停止用</w:t>
            </w:r>
          </w:p>
        </w:tc>
      </w:tr>
    </w:tbl>
    <w:p>
      <w:pPr>
        <w:spacing w:after="160" w:before="0"/>
      </w:pPr>
    </w:p>
    <w:p>
      <w:pPr>
        <w:pStyle w:val="Heading2"/>
      </w:pPr>
      <w:r>
        <w:t xml:space="preserve">表示仕様</w:t>
      </w:r>
    </w:p>
    <w:p>
      <w:pPr>
        <w:pStyle w:val="ListParagraph"/>
        <w:numPr>
          <w:ilvl w:val="0"/>
          <w:numId w:val="2"/>
        </w:numPr>
        <w:spacing w:after="60"/>
      </w:pPr>
      <w:r>
        <w:t xml:space="preserve">枠Aに複数登録がある場合は、ページ表示ごとに1枚をランダムで表示する（均等配信）。枠Bは登録順に最大3枚。</w:t>
      </w:r>
    </w:p>
    <w:p>
      <w:pPr>
        <w:pStyle w:val="ListParagraph"/>
        <w:numPr>
          <w:ilvl w:val="0"/>
          <w:numId w:val="2"/>
        </w:numPr>
        <w:spacing w:after="60"/>
      </w:pPr>
      <w:r>
        <w:t xml:space="preserve">掲載期間外、表示OFF、画像未設定は非表示。有効な広告が1つもない枠は枠ごと出さず、空白を残さない。</w:t>
      </w:r>
    </w:p>
    <w:p>
      <w:pPr>
        <w:pStyle w:val="ListParagraph"/>
        <w:numPr>
          <w:ilvl w:val="0"/>
          <w:numId w:val="2"/>
        </w:numPr>
        <w:spacing w:after="60"/>
      </w:pPr>
      <w:r>
        <w:t xml:space="preserve">枠の隅に「PR」ラベルを常時表示する。</w:t>
      </w:r>
    </w:p>
    <w:p>
      <w:pPr>
        <w:pStyle w:val="ListParagraph"/>
        <w:numPr>
          <w:ilvl w:val="0"/>
          <w:numId w:val="2"/>
        </w:numPr>
        <w:spacing w:after="60"/>
      </w:pPr>
      <w:r>
        <w:t xml:space="preserve">リンクは新しいタブで開き、</w:t>
      </w:r>
      <w:r>
        <w:rPr>
          <w:rFonts w:ascii="Consolas" w:cs="Consolas" w:eastAsia="ＭＳ ゴシック" w:hAnsi="Consolas"/>
          <w:sz w:val="19"/>
          <w:szCs w:val="19"/>
          <w:shd w:fill="EEF2F7" w:color="auto" w:val="clear"/>
        </w:rPr>
        <w:t xml:space="preserve">rel="sponsored noopener"</w:t>
      </w:r>
      <w:r>
        <w:t xml:space="preserve"> を付与する。</w:t>
      </w:r>
    </w:p>
    <w:p>
      <w:pPr>
        <w:pStyle w:val="ListParagraph"/>
        <w:numPr>
          <w:ilvl w:val="0"/>
          <w:numId w:val="2"/>
        </w:numPr>
        <w:spacing w:after="60"/>
      </w:pPr>
      <w:r>
        <w:t xml:space="preserve">CSSのクラス名に ad・banner・advert を使わない（広告ブロッカーで消されないため）。</w:t>
      </w:r>
    </w:p>
    <w:p>
      <w:pPr>
        <w:pStyle w:val="ListParagraph"/>
        <w:numPr>
          <w:ilvl w:val="0"/>
          <w:numId w:val="2"/>
        </w:numPr>
        <w:spacing w:after="60"/>
      </w:pPr>
      <w:r>
        <w:t xml:space="preserve">未設定の枠は、管理者でログイン中のみ「広告枠A（未設定）」の見本を表示する。広告主への営業時に位置を見せられる。</w:t>
      </w:r>
    </w:p>
    <w:p>
      <w:pPr>
        <w:pStyle w:val="Heading2"/>
      </w:pPr>
      <w:r>
        <w:t xml:space="preserve">効果測定</w:t>
      </w:r>
    </w:p>
    <w:p>
      <w:r>
        <w:t xml:space="preserve">広告を販売するには表示回数とクリック数の実績が必要なため、テーマ内で計測します。外部ツールは不要です。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指標</w:t>
            </w:r>
          </w:p>
        </w:tc>
        <w:tc>
          <w:tcPr>
            <w:tcW w:type="dxa" w:w="8032"/>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計測方法</w:t>
            </w:r>
          </w:p>
        </w:tc>
      </w:tr>
      <w:tr>
        <w:trPr>
          <w:cantSplit/>
        </w:trPr>
        <w:tc>
          <w:tcPr>
            <w:tcW w:type="dxa" w:w="160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表示回数</w:t>
            </w:r>
          </w:p>
        </w:tc>
        <w:tc>
          <w:tcPr>
            <w:tcW w:type="dxa" w:w="8032"/>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ページ表示時にJSが計測用の内部エンドポイントへ送信。会員限定サイトでキャッシュがないため精度が高い</w:t>
            </w:r>
          </w:p>
        </w:tc>
      </w:tr>
      <w:tr>
        <w:trPr>
          <w:cantSplit/>
        </w:trPr>
        <w:tc>
          <w:tcPr>
            <w:tcW w:type="dxa" w:w="160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クリック数</w:t>
            </w:r>
          </w:p>
        </w:tc>
        <w:tc>
          <w:tcPr>
            <w:tcW w:type="dxa" w:w="8032"/>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リンクを計測用URL（例：</w:t>
            </w:r>
            <w:r>
              <w:rPr>
                <w:rFonts w:ascii="Consolas" w:cs="Consolas" w:eastAsia="ＭＳ ゴシック" w:hAnsi="Consolas"/>
                <w:sz w:val="16"/>
                <w:szCs w:val="16"/>
                <w:shd w:fill="EEF2F7" w:color="auto" w:val="clear"/>
              </w:rPr>
              <w:t xml:space="preserve">/go/spot-a-1</w:t>
            </w:r>
            <w:r>
              <w:rPr>
                <w:sz w:val="18"/>
                <w:szCs w:val="18"/>
              </w:rPr>
              <w:t xml:space="preserve">）にし、記録後に広告主サイトへ転送。JS無効でも計測できる</w:t>
            </w:r>
          </w:p>
        </w:tc>
      </w:tr>
      <w:tr>
        <w:trPr>
          <w:cantSplit/>
        </w:trPr>
        <w:tc>
          <w:tcPr>
            <w:tcW w:type="dxa" w:w="160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ユニーク数</w:t>
            </w:r>
          </w:p>
        </w:tc>
        <w:tc>
          <w:tcPr>
            <w:tcW w:type="dxa" w:w="8032"/>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会員IDがあるため、同一会員の重複を除いた日次ユニーク数も出せる</w:t>
            </w:r>
          </w:p>
        </w:tc>
      </w:tr>
    </w:tbl>
    <w:p>
      <w:pPr>
        <w:spacing w:after="160" w:before="0"/>
      </w:pPr>
    </w:p>
    <w:p>
      <w:r>
        <w:t xml:space="preserve">記録はWordPress内の専用テーブル（日付×広告×表示／クリック）に保存し、管理画面の「広告レポート」で月別の表示・クリック・CTRを確認、CSV出力できるようにします。GA4を導入する場合はイベント送信を併用できます（任意）。</w:t>
      </w:r>
    </w:p>
    <w:p>
      <w:pPr>
        <w:pStyle w:val="Heading2"/>
      </w:pPr>
      <w:r>
        <w:t xml:space="preserve">法令・運用上の注意</w:t>
      </w:r>
    </w:p>
    <w:p>
      <w:pPr>
        <w:pStyle w:val="ListParagraph"/>
        <w:numPr>
          <w:ilvl w:val="0"/>
          <w:numId w:val="2"/>
        </w:numPr>
        <w:spacing w:after="60"/>
      </w:pPr>
      <w:r>
        <w:t xml:space="preserve">景品表示法のステマ規制（2023年10月施行）により、広告であることの明示が必須です。「PR」表記で対応します。</w:t>
      </w:r>
    </w:p>
    <w:p>
      <w:pPr>
        <w:pStyle w:val="ListParagraph"/>
        <w:numPr>
          <w:ilvl w:val="0"/>
          <w:numId w:val="2"/>
        </w:numPr>
        <w:spacing w:after="60"/>
      </w:pPr>
      <w:r>
        <w:t xml:space="preserve">広告主には「会員限定ページでの配信」であることと、会員数・業種を提示できるようにしておくと営業しやすくなります。</w:t>
      </w:r>
    </w:p>
    <w:p>
      <w:pPr>
        <w:pStyle w:val="ListParagraph"/>
        <w:numPr>
          <w:ilvl w:val="0"/>
          <w:numId w:val="2"/>
        </w:numPr>
        <w:spacing w:after="60"/>
      </w:pPr>
      <w:r>
        <w:t xml:space="preserve">画像の登録は事務局側で行い、広告主に管理画面を開放しない。</w:t>
      </w:r>
    </w:p>
    <w:p>
      <w:pPr>
        <w:pStyle w:val="ListParagraph"/>
        <w:numPr>
          <w:ilvl w:val="0"/>
          <w:numId w:val="2"/>
        </w:numPr>
        <w:spacing w:after="60"/>
      </w:pPr>
      <w:r>
        <w:t xml:space="preserve">掲載の開始・停止は掲載期間フィールドで行う。日付の入れ忘れで出しっぱなしにならないよう、終了日は必須とする。</w:t>
      </w:r>
    </w:p>
    <w:p>
      <w:pPr>
        <w:pStyle w:val="Heading2"/>
      </w:pPr>
      <w:r>
        <w:t xml:space="preserve">広告主向け入稿仕様（案）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3641"/>
        <w:gridCol w:w="2570"/>
        <w:gridCol w:w="1714"/>
      </w:tblGrid>
      <w:tr>
        <w:trPr>
          <w:cantSplit/>
          <w:tblHeader/>
        </w:trPr>
        <w:tc>
          <w:tcPr>
            <w:tcW w:type="dxa" w:w="1713"/>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枠</w:t>
            </w:r>
          </w:p>
        </w:tc>
        <w:tc>
          <w:tcPr>
            <w:tcW w:type="dxa" w:w="3641"/>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入稿サイズ</w:t>
            </w:r>
          </w:p>
        </w:tc>
        <w:tc>
          <w:tcPr>
            <w:tcW w:type="dxa" w:w="2570"/>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形式</w:t>
            </w:r>
          </w:p>
        </w:tc>
        <w:tc>
          <w:tcPr>
            <w:tcW w:type="dxa" w:w="1714"/>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容量</w:t>
            </w:r>
          </w:p>
        </w:tc>
      </w:tr>
      <w:tr>
        <w:trPr>
          <w:cantSplit/>
        </w:trPr>
        <w:tc>
          <w:tcPr>
            <w:tcW w:type="dxa" w:w="1713"/>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枠A 横長</w:t>
            </w:r>
          </w:p>
        </w:tc>
        <w:tc>
          <w:tcPr>
            <w:tcW w:type="dxa" w:w="3641"/>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2360×240px（表示1180×120）</w:t>
            </w:r>
          </w:p>
        </w:tc>
        <w:tc>
          <w:tcPr>
            <w:tcW w:type="dxa" w:w="257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PNG／JPG／WebP</w:t>
            </w:r>
          </w:p>
        </w:tc>
        <w:tc>
          <w:tcPr>
            <w:tcW w:type="dxa" w:w="171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300KB以下</w:t>
            </w:r>
          </w:p>
        </w:tc>
      </w:tr>
      <w:tr>
        <w:trPr>
          <w:cantSplit/>
        </w:trPr>
        <w:tc>
          <w:tcPr>
            <w:tcW w:type="dxa" w:w="1713"/>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枠B 矩形</w:t>
            </w:r>
          </w:p>
        </w:tc>
        <w:tc>
          <w:tcPr>
            <w:tcW w:type="dxa" w:w="3641"/>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600×500px（表示300×250）</w:t>
            </w:r>
          </w:p>
        </w:tc>
        <w:tc>
          <w:tcPr>
            <w:tcW w:type="dxa" w:w="257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PNG／JPG／WebP</w:t>
            </w:r>
          </w:p>
        </w:tc>
        <w:tc>
          <w:tcPr>
            <w:tcW w:type="dxa" w:w="171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200KB以下</w:t>
            </w:r>
          </w:p>
        </w:tc>
      </w:tr>
    </w:tbl>
    <w:p>
      <w:pPr>
        <w:spacing w:after="160" w:before="0"/>
      </w:pPr>
    </w:p>
    <w:p>
      <w:pPr>
        <w:pStyle w:val="Heading2"/>
      </w:pPr>
      <w:r>
        <w:t xml:space="preserve">工数</w:t>
      </w:r>
    </w:p>
    <w:p>
      <w:r>
        <w:t xml:space="preserve">表示＋ACF設定で0.5日、計測＋レポート画面で1日、合計1.5〜2日です。計測を後回しにして表示のみ先行する場合は0.5日です。</w:t>
      </w:r>
    </w:p>
    <w:p>
      <w:pPr>
        <w:pStyle w:val="Heading1"/>
        <w:pageBreakBefore/>
      </w:pPr>
      <w:r>
        <w:rPr>
          <w:color w:val="1F6FE0"/>
        </w:rPr>
        <w:t xml:space="preserve">3　</w:t>
      </w:r>
      <w:r>
        <w:t xml:space="preserve">外部連携の共通基盤</w:t>
      </w:r>
      <w:r>
        <w:rPr>
          <w:b w:val="false"/>
          <w:bCs w:val="false"/>
          <w:color w:val="0D3FA6"/>
          <w:sz w:val="20"/>
          <w:szCs w:val="20"/>
        </w:rPr>
        <w:t xml:space="preserve">　ご相談（2）（3）共通</w:t>
      </w:r>
    </w:p>
    <w:p>
      <w:r>
        <w:t xml:space="preserve">「送信内容をWordPress内に保存 → 各送り先へ配信 → 失敗時は自動再送」という基盤を1つ作り、Excelと調速はその上の「送り先」として追加します。送り先が増えても基盤は変わりません。</w:t>
      </w:r>
    </w:p>
    <w:p>
      <w:pPr>
        <w:pStyle w:val="Heading2"/>
      </w:pPr>
      <w:r>
        <w:t xml:space="preserve">全体構成</w:t>
      </w:r>
    </w:p>
    <w:p>
      <w:pPr>
        <w:keepNext/>
        <w:spacing w:after="60" w:before="160"/>
        <w:jc w:val="center"/>
      </w:pPr>
      <w:r>
        <w:drawing>
          <wp:inline distT="0" distB="0" distL="0" distR="0">
            <wp:extent cx="3714750" cy="4724400"/>
            <wp:effectExtent t="0" r="0" b="0" l="0"/>
            <wp:docPr id="2" name="arch" descr="外部連携の全体構成" title="外部連携の全体構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14750" cy="4724400"/>
                    </a:xfrm>
                    <a:prstGeom prst="rect">
                      <a:avLst/>
                    </a:prstGeom>
                  </pic:spPr>
                </pic:pic>
              </a:graphicData>
            </a:graphic>
          </wp:inline>
        </w:drawing>
      </w:r>
    </w:p>
    <w:p>
      <w:pPr>
        <w:spacing w:after="220"/>
        <w:jc w:val="center"/>
      </w:pPr>
      <w:r>
        <w:rPr>
          <w:color w:val="5D6B7E"/>
          <w:sz w:val="18"/>
          <w:szCs w:val="18"/>
        </w:rPr>
        <w:t xml:space="preserve">図2　外部連携の全体構成</w:t>
      </w:r>
    </w:p>
    <w:p>
      <w:r>
        <w:t xml:space="preserve">メール通知は従来どおりCF7が送ります。連携が止まってもメールは届くため、依頼が完全に失われることはありません。</w:t>
      </w:r>
    </w:p>
    <w:p>
      <w:pPr>
        <w:pStyle w:val="Heading2"/>
      </w:pPr>
      <w:r>
        <w:t xml:space="preserve">処理フロー</w:t>
      </w:r>
    </w:p>
    <w:p>
      <w:pPr>
        <w:pStyle w:val="ListParagraph"/>
        <w:numPr>
          <w:ilvl w:val="0"/>
          <w:numId w:val="3"/>
        </w:numPr>
        <w:spacing w:after="60"/>
      </w:pPr>
      <w:r>
        <w:t xml:space="preserve">会員がフォームを送信する。CF7が検証・スパム判定を通したものだけが対象。</w:t>
      </w:r>
    </w:p>
    <w:p>
      <w:pPr>
        <w:pStyle w:val="ListParagraph"/>
        <w:numPr>
          <w:ilvl w:val="0"/>
          <w:numId w:val="3"/>
        </w:numPr>
        <w:spacing w:after="60"/>
      </w:pPr>
      <w:r>
        <w:t xml:space="preserve">送信フックで内容を受け取り、共通形式（付録参照）に変換してWordPress内に保存する。</w:t>
      </w:r>
    </w:p>
    <w:p>
      <w:pPr>
        <w:pStyle w:val="ListParagraph"/>
        <w:numPr>
          <w:ilvl w:val="0"/>
          <w:numId w:val="3"/>
        </w:numPr>
        <w:spacing w:after="60"/>
      </w:pPr>
      <w:r>
        <w:t xml:space="preserve">送り先ごとに配信し、成功／失敗を記録する。配信は通常1秒以内。タイムアウトは5秒。</w:t>
      </w:r>
    </w:p>
    <w:p>
      <w:pPr>
        <w:pStyle w:val="ListParagraph"/>
        <w:numPr>
          <w:ilvl w:val="0"/>
          <w:numId w:val="3"/>
        </w:numPr>
        <w:spacing w:after="60"/>
      </w:pPr>
      <w:r>
        <w:t xml:space="preserve">失敗した分は再送キューに入り、間隔をあけて自動で再送する。</w:t>
      </w:r>
    </w:p>
    <w:p>
      <w:pPr>
        <w:pStyle w:val="ListParagraph"/>
        <w:numPr>
          <w:ilvl w:val="0"/>
          <w:numId w:val="3"/>
        </w:numPr>
        <w:spacing w:after="60"/>
      </w:pPr>
      <w:r>
        <w:t xml:space="preserve">再送を使い切ったら管理者へメールで通知し、管理画面から手動再送できる。</w:t>
      </w:r>
    </w:p>
    <w:p>
      <w:pPr>
        <w:pStyle w:val="Heading2"/>
      </w:pPr>
      <w:r>
        <w:t xml:space="preserve">送信データの正規化</w:t>
      </w:r>
    </w:p>
    <w:p>
      <w:r>
        <w:t xml:space="preserve">CF7の項目名（company、sell-price-min など）はそのまま使い、次の共通項目を付加します。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9"/>
        <w:gridCol w:w="4767"/>
        <w:gridCol w:w="2902"/>
      </w:tblGrid>
      <w:tr>
        <w:trPr>
          <w:cantSplit/>
          <w:tblHeader/>
        </w:trPr>
        <w:tc>
          <w:tcPr>
            <w:tcW w:type="dxa" w:w="1969"/>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項目</w:t>
            </w:r>
          </w:p>
        </w:tc>
        <w:tc>
          <w:tcPr>
            <w:tcW w:type="dxa" w:w="4767"/>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内容</w:t>
            </w:r>
          </w:p>
        </w:tc>
        <w:tc>
          <w:tcPr>
            <w:tcW w:type="dxa" w:w="2902"/>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取得元</w:t>
            </w:r>
          </w:p>
        </w:tc>
      </w:tr>
      <w:tr>
        <w:trPr>
          <w:cantSplit/>
        </w:trPr>
        <w:tc>
          <w:tcPr>
            <w:tcW w:type="dxa" w:w="196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送信ID</w:t>
            </w:r>
          </w:p>
        </w:tc>
        <w:tc>
          <w:tcPr>
            <w:tcW w:type="dxa" w:w="4767"/>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一意の番号（例：TSG-20260921-0001）</w:t>
            </w:r>
          </w:p>
        </w:tc>
        <w:tc>
          <w:tcPr>
            <w:tcW w:type="dxa" w:w="2902"/>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基盤が採番</w:t>
            </w:r>
          </w:p>
        </w:tc>
      </w:tr>
      <w:tr>
        <w:trPr>
          <w:cantSplit/>
        </w:trPr>
        <w:tc>
          <w:tcPr>
            <w:tcW w:type="dxa" w:w="196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送信日時</w:t>
            </w:r>
          </w:p>
        </w:tc>
        <w:tc>
          <w:tcPr>
            <w:tcW w:type="dxa" w:w="4767"/>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日本時間</w:t>
            </w:r>
          </w:p>
        </w:tc>
        <w:tc>
          <w:tcPr>
            <w:tcW w:type="dxa" w:w="2902"/>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サーバー</w:t>
            </w:r>
          </w:p>
        </w:tc>
      </w:tr>
      <w:tr>
        <w:trPr>
          <w:cantSplit/>
        </w:trPr>
        <w:tc>
          <w:tcPr>
            <w:tcW w:type="dxa" w:w="196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フォーム名</w:t>
            </w:r>
          </w:p>
        </w:tc>
        <w:tc>
          <w:tcPr>
            <w:tcW w:type="dxa" w:w="4767"/>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例：自社物件の売却依頼</w:t>
            </w:r>
          </w:p>
        </w:tc>
        <w:tc>
          <w:tcPr>
            <w:tcW w:type="dxa" w:w="2902"/>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CF7のフォームタイトル</w:t>
            </w:r>
          </w:p>
        </w:tc>
      </w:tr>
      <w:tr>
        <w:trPr>
          <w:cantSplit/>
        </w:trPr>
        <w:tc>
          <w:tcPr>
            <w:tcW w:type="dxa" w:w="196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会員の会社名</w:t>
            </w:r>
          </w:p>
        </w:tc>
        <w:tc>
          <w:tcPr>
            <w:tcW w:type="dxa" w:w="4767"/>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ログイン中のユーザーの表示名</w:t>
            </w:r>
          </w:p>
        </w:tc>
        <w:tc>
          <w:tcPr>
            <w:tcW w:type="dxa" w:w="2902"/>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WordPressユーザー</w:t>
            </w:r>
          </w:p>
        </w:tc>
      </w:tr>
      <w:tr>
        <w:trPr>
          <w:cantSplit/>
        </w:trPr>
        <w:tc>
          <w:tcPr>
            <w:tcW w:type="dxa" w:w="196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会員のメール</w:t>
            </w:r>
          </w:p>
        </w:tc>
        <w:tc>
          <w:tcPr>
            <w:tcW w:type="dxa" w:w="4767"/>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ログイン中のユーザーのメール</w:t>
            </w:r>
          </w:p>
        </w:tc>
        <w:tc>
          <w:tcPr>
            <w:tcW w:type="dxa" w:w="2902"/>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WordPressユーザー</w:t>
            </w:r>
          </w:p>
        </w:tc>
      </w:tr>
      <w:tr>
        <w:trPr>
          <w:cantSplit/>
        </w:trPr>
        <w:tc>
          <w:tcPr>
            <w:tcW w:type="dxa" w:w="196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添付ファイル</w:t>
            </w:r>
          </w:p>
        </w:tc>
        <w:tc>
          <w:tcPr>
            <w:tcW w:type="dxa" w:w="4767"/>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ファイル名とサイズのみ</w:t>
            </w:r>
          </w:p>
        </w:tc>
        <w:tc>
          <w:tcPr>
            <w:tcW w:type="dxa" w:w="2902"/>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CF7</w:t>
            </w:r>
          </w:p>
        </w:tc>
      </w:tr>
    </w:tbl>
    <w:p>
      <w:pPr>
        <w:spacing w:after="160" w:before="0"/>
      </w:pPr>
    </w:p>
    <w:p>
      <w:r>
        <w:t xml:space="preserve">会員限定サイトのため、誰が送ったかをログイン情報から確実に特定できます。運用マニュアルで「ユーザー名に会社名を入れる」としているのは、ここでも効きます。</w:t>
      </w:r>
    </w:p>
    <w:p>
      <w:pPr>
        <w:pStyle w:val="Heading2"/>
      </w:pPr>
      <w:r>
        <w:t xml:space="preserve">控え保存と管理画面</w:t>
      </w:r>
    </w:p>
    <w:p>
      <w:pPr>
        <w:pStyle w:val="ListParagraph"/>
        <w:numPr>
          <w:ilvl w:val="0"/>
          <w:numId w:val="2"/>
        </w:numPr>
        <w:spacing w:after="60"/>
      </w:pPr>
      <w:r>
        <w:t xml:space="preserve">WordPressの非公開の投稿タイプ「フォーム送信」に1件ずつ保存する。管理者のみ閲覧可。</w:t>
      </w:r>
    </w:p>
    <w:p>
      <w:pPr>
        <w:pStyle w:val="ListParagraph"/>
        <w:numPr>
          <w:ilvl w:val="0"/>
          <w:numId w:val="2"/>
        </w:numPr>
        <w:spacing w:after="60"/>
      </w:pPr>
      <w:r>
        <w:t xml:space="preserve">一覧画面：送信日時、フォーム名、会社名、送り先ごとの状態（成功／再送待ち／失敗）。</w:t>
      </w:r>
    </w:p>
    <w:p>
      <w:pPr>
        <w:pStyle w:val="ListParagraph"/>
        <w:numPr>
          <w:ilvl w:val="0"/>
          <w:numId w:val="2"/>
        </w:numPr>
        <w:spacing w:after="60"/>
      </w:pPr>
      <w:r>
        <w:t xml:space="preserve">詳細画面：送信内容、配信ログ（時刻・結果・エラー内容）、「再送」ボタン。</w:t>
      </w:r>
    </w:p>
    <w:p>
      <w:pPr>
        <w:pStyle w:val="ListParagraph"/>
        <w:numPr>
          <w:ilvl w:val="0"/>
          <w:numId w:val="2"/>
        </w:numPr>
        <w:spacing w:after="60"/>
      </w:pPr>
      <w:r>
        <w:t xml:space="preserve">添付ファイルは従来どおりメールに添付される。控えにはファイル名だけを残し、サーバーには保管しない。SharePointへの自動保存は将来の拡張。</w:t>
      </w:r>
    </w:p>
    <w:p>
      <w:pPr>
        <w:pStyle w:val="ListParagraph"/>
        <w:numPr>
          <w:ilvl w:val="0"/>
          <w:numId w:val="2"/>
        </w:numPr>
        <w:spacing w:after="60"/>
      </w:pPr>
      <w:r>
        <w:t xml:space="preserve">控えは個人情報を含むため保存期間を決める（例：180日で自動削除）。</w:t>
      </w:r>
    </w:p>
    <w:p>
      <w:pPr>
        <w:pStyle w:val="Heading2"/>
      </w:pPr>
      <w:r>
        <w:t xml:space="preserve">リトライと通知</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rPr>
          <w:cantSplit/>
          <w:tblHeader/>
        </w:trPr>
        <w:tc>
          <w:tcPr>
            <w:tcW w:type="dxa" w:w="2200"/>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再送回数</w:t>
            </w:r>
          </w:p>
        </w:tc>
        <w:tc>
          <w:tcPr>
            <w:tcW w:type="dxa" w:w="2200"/>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間隔</w:t>
            </w:r>
          </w:p>
        </w:tc>
      </w:tr>
      <w:tr>
        <w:trPr>
          <w:cantSplit/>
        </w:trPr>
        <w:tc>
          <w:tcPr>
            <w:tcW w:type="dxa" w:w="220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1回目</w:t>
            </w:r>
          </w:p>
        </w:tc>
        <w:tc>
          <w:tcPr>
            <w:tcW w:type="dxa" w:w="220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5分後</w:t>
            </w:r>
          </w:p>
        </w:tc>
      </w:tr>
      <w:tr>
        <w:trPr>
          <w:cantSplit/>
        </w:trPr>
        <w:tc>
          <w:tcPr>
            <w:tcW w:type="dxa" w:w="220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2回目</w:t>
            </w:r>
          </w:p>
        </w:tc>
        <w:tc>
          <w:tcPr>
            <w:tcW w:type="dxa" w:w="220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30分後</w:t>
            </w:r>
          </w:p>
        </w:tc>
      </w:tr>
      <w:tr>
        <w:trPr>
          <w:cantSplit/>
        </w:trPr>
        <w:tc>
          <w:tcPr>
            <w:tcW w:type="dxa" w:w="220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3回目</w:t>
            </w:r>
          </w:p>
        </w:tc>
        <w:tc>
          <w:tcPr>
            <w:tcW w:type="dxa" w:w="220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2時間後</w:t>
            </w:r>
          </w:p>
        </w:tc>
      </w:tr>
      <w:tr>
        <w:trPr>
          <w:cantSplit/>
        </w:trPr>
        <w:tc>
          <w:tcPr>
            <w:tcW w:type="dxa" w:w="220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4回目</w:t>
            </w:r>
          </w:p>
        </w:tc>
        <w:tc>
          <w:tcPr>
            <w:tcW w:type="dxa" w:w="220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12時間後</w:t>
            </w:r>
          </w:p>
        </w:tc>
      </w:tr>
    </w:tbl>
    <w:p>
      <w:pPr>
        <w:spacing w:after="160" w:before="0"/>
      </w:pPr>
    </w:p>
    <w:p>
      <w:r>
        <w:t xml:space="preserve">4回すべて失敗したら管理者へメールで通知し、管理画面の一覧に「失敗」と表示します。ダッシュボードにも未配信件数を出します。</w:t>
      </w:r>
    </w:p>
    <w:p>
      <w:pPr>
        <w:pStyle w:val="Heading2"/>
      </w:pPr>
      <w:r>
        <w:t xml:space="preserve">セキュリティ</w:t>
      </w:r>
    </w:p>
    <w:p>
      <w:pPr>
        <w:pStyle w:val="ListParagraph"/>
        <w:numPr>
          <w:ilvl w:val="0"/>
          <w:numId w:val="2"/>
        </w:numPr>
        <w:spacing w:after="60"/>
      </w:pPr>
      <w:r>
        <w:t xml:space="preserve">認証情報（シークレット等）は wp-config.php の定数に置き、DB・ACF・テーマファイルには書かない。テーマZIPやDBバックアップに混入しない。</w:t>
      </w:r>
    </w:p>
    <w:p>
      <w:pPr>
        <w:pStyle w:val="ListParagraph"/>
        <w:numPr>
          <w:ilvl w:val="0"/>
          <w:numId w:val="2"/>
        </w:numPr>
        <w:spacing w:after="60"/>
      </w:pPr>
      <w:r>
        <w:t xml:space="preserve">外部への送信はHTTPSのみ。調速向けWebhookは共有鍵によるHMAC署名とタイムスタンプで検証する。</w:t>
      </w:r>
    </w:p>
    <w:p>
      <w:pPr>
        <w:pStyle w:val="ListParagraph"/>
        <w:numPr>
          <w:ilvl w:val="0"/>
          <w:numId w:val="2"/>
        </w:numPr>
        <w:spacing w:after="60"/>
      </w:pPr>
      <w:r>
        <w:t xml:space="preserve">ログにはエラー内容のみを残し、送信内容は書かない。</w:t>
      </w:r>
    </w:p>
    <w:p>
      <w:pPr>
        <w:pStyle w:val="ListParagraph"/>
        <w:numPr>
          <w:ilvl w:val="0"/>
          <w:numId w:val="2"/>
        </w:numPr>
        <w:spacing w:after="60"/>
      </w:pPr>
      <w:r>
        <w:t xml:space="preserve">控えは管理者権限のみ。会員からは見えない。</w:t>
      </w:r>
    </w:p>
    <w:p>
      <w:pPr>
        <w:pStyle w:val="Heading2"/>
      </w:pPr>
      <w:r>
        <w:t xml:space="preserve">Xサーバー固有の考慮</w:t>
      </w:r>
    </w:p>
    <w:p>
      <w:pPr>
        <w:pStyle w:val="ListParagraph"/>
        <w:numPr>
          <w:ilvl w:val="0"/>
          <w:numId w:val="2"/>
        </w:numPr>
        <w:spacing w:after="60"/>
      </w:pPr>
      <w:r>
        <w:t xml:space="preserve">外部へのHTTPS通信は可能。追加設定は不要。</w:t>
      </w:r>
    </w:p>
    <w:p>
      <w:pPr>
        <w:pStyle w:val="ListParagraph"/>
        <w:numPr>
          <w:ilvl w:val="0"/>
          <w:numId w:val="2"/>
        </w:numPr>
        <w:spacing w:after="60"/>
      </w:pPr>
      <w:r>
        <w:t xml:space="preserve">再送はWP-Cronで動くが、アクセスの少ない会員制サイトでは遅れることがある。Xサーバーのサーバーパネル「Cron設定」で5分ごとに wp-cron.php を実行するよう設定する（無料機能）。</w:t>
      </w:r>
    </w:p>
    <w:p>
      <w:pPr>
        <w:pStyle w:val="ListParagraph"/>
        <w:numPr>
          <w:ilvl w:val="0"/>
          <w:numId w:val="2"/>
        </w:numPr>
        <w:spacing w:after="60"/>
      </w:pPr>
      <w:r>
        <w:t xml:space="preserve">現行の会員限定リダイレクトは wp-cron.php と REST API（wp-json）を除外済みのため、再送と計測に影響しない。</w:t>
      </w:r>
    </w:p>
    <w:p>
      <w:pPr>
        <w:pStyle w:val="Heading1"/>
        <w:pageBreakBefore/>
      </w:pPr>
      <w:r>
        <w:rPr>
          <w:color w:val="1F6FE0"/>
        </w:rPr>
        <w:t xml:space="preserve">4　</w:t>
      </w:r>
      <w:r>
        <w:t xml:space="preserve">Excel（M365／SharePoint）連携</w:t>
      </w:r>
      <w:r>
        <w:rPr>
          <w:b w:val="false"/>
          <w:bCs w:val="false"/>
          <w:color w:val="0D3FA6"/>
          <w:sz w:val="20"/>
          <w:szCs w:val="20"/>
        </w:rPr>
        <w:t xml:space="preserve">　ご相談（3）</w:t>
      </w:r>
    </w:p>
    <w:p>
      <w:r>
        <w:t xml:space="preserve">Microsoft Graph APIの「テーブルに行を追加」機能で、SharePoint上のExcelに送信1件＝1行を追記します。ファイルを開かずに書き込むため、既存の書式・数式・手入力のメモは壊れません。</w:t>
      </w:r>
    </w:p>
    <w:p>
      <w:pPr>
        <w:pStyle w:val="Heading2"/>
      </w:pPr>
      <w:r>
        <w:t xml:space="preserve">方式</w:t>
      </w:r>
    </w:p>
    <w:p>
      <w:pPr>
        <w:pStyle w:val="ListParagraph"/>
        <w:numPr>
          <w:ilvl w:val="0"/>
          <w:numId w:val="2"/>
        </w:numPr>
        <w:spacing w:after="60"/>
      </w:pPr>
      <w:r>
        <w:t xml:space="preserve">認証はアプリ専用のクライアント資格情報フロー。ユーザーのログイン操作は不要で、一度設定すれば自動で動き続ける。</w:t>
      </w:r>
    </w:p>
    <w:p>
      <w:pPr>
        <w:pStyle w:val="ListParagraph"/>
        <w:numPr>
          <w:ilvl w:val="0"/>
          <w:numId w:val="2"/>
        </w:numPr>
        <w:spacing w:after="60"/>
      </w:pPr>
      <w:r>
        <w:t xml:space="preserve">権限は Sites.Selected。対象のSharePointサイト1つだけに書き込みを許可し、他のサイト・ファイルには触れない。</w:t>
      </w:r>
    </w:p>
    <w:p>
      <w:pPr>
        <w:pStyle w:val="ListParagraph"/>
        <w:numPr>
          <w:ilvl w:val="0"/>
          <w:numId w:val="2"/>
        </w:numPr>
        <w:spacing w:after="60"/>
      </w:pPr>
      <w:r>
        <w:t xml:space="preserve">ファイルはIDで参照するため、ファイル名の変更やフォルダ移動をしても追従する。削除して作り直した場合のみ再設定。</w:t>
      </w:r>
    </w:p>
    <w:p>
      <w:pPr>
        <w:keepNext/>
        <w:spacing w:after="60" w:before="160"/>
        <w:jc w:val="center"/>
      </w:pPr>
      <w:r>
        <w:drawing>
          <wp:inline distT="0" distB="0" distL="0" distR="0">
            <wp:extent cx="6115050" cy="2400300"/>
            <wp:effectExtent t="0" r="0" b="0" l="0"/>
            <wp:docPr id="3" name="seq" descr="Excel連携の処理の流れ" title="Excel連携の処理の流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2400300"/>
                    </a:xfrm>
                    <a:prstGeom prst="rect">
                      <a:avLst/>
                    </a:prstGeom>
                  </pic:spPr>
                </pic:pic>
              </a:graphicData>
            </a:graphic>
          </wp:inline>
        </w:drawing>
      </w:r>
    </w:p>
    <w:p>
      <w:pPr>
        <w:spacing w:after="220"/>
        <w:jc w:val="center"/>
      </w:pPr>
      <w:r>
        <w:rPr>
          <w:color w:val="5D6B7E"/>
          <w:sz w:val="18"/>
          <w:szCs w:val="18"/>
        </w:rPr>
        <w:t xml:space="preserve">図3　Excel連携の処理の流れ</w:t>
      </w:r>
    </w:p>
    <w:p>
      <w:r>
        <w:t xml:space="preserve">トークンはWordPress内に約50分キャッシュし、送信のたびに取り直さない。期限切れ（401）なら再取得して1回だけ再試行する。</w:t>
      </w:r>
    </w:p>
    <w:p>
      <w:pPr>
        <w:pStyle w:val="Heading2"/>
      </w:pPr>
      <w:r>
        <w:t xml:space="preserve">事前準備（クライアント側）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04"/>
        <w:gridCol w:w="1885"/>
        <w:gridCol w:w="1049"/>
      </w:tblGrid>
      <w:tr>
        <w:trPr>
          <w:cantSplit/>
          <w:tblHeader/>
        </w:trPr>
        <w:tc>
          <w:tcPr>
            <w:tcW w:type="dxa" w:w="6704"/>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作業</w:t>
            </w:r>
          </w:p>
        </w:tc>
        <w:tc>
          <w:tcPr>
            <w:tcW w:type="dxa" w:w="1885"/>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担当</w:t>
            </w:r>
          </w:p>
        </w:tc>
        <w:tc>
          <w:tcPr>
            <w:tcW w:type="dxa" w:w="1049"/>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所要</w:t>
            </w:r>
          </w:p>
        </w:tc>
      </w:tr>
      <w:tr>
        <w:trPr>
          <w:cantSplit/>
        </w:trPr>
        <w:tc>
          <w:tcPr>
            <w:tcW w:type="dxa" w:w="67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Microsoft Entra ID でアプリを登録</w:t>
            </w:r>
          </w:p>
        </w:tc>
        <w:tc>
          <w:tcPr>
            <w:tcW w:type="dxa" w:w="188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M365管理者</w:t>
            </w:r>
          </w:p>
        </w:tc>
        <w:tc>
          <w:tcPr>
            <w:tcW w:type="dxa" w:w="104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10分</w:t>
            </w:r>
          </w:p>
        </w:tc>
      </w:tr>
      <w:tr>
        <w:trPr>
          <w:cantSplit/>
        </w:trPr>
        <w:tc>
          <w:tcPr>
            <w:tcW w:type="dxa" w:w="67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クライアントシークレットを発行（有効期間24か月）</w:t>
            </w:r>
          </w:p>
        </w:tc>
        <w:tc>
          <w:tcPr>
            <w:tcW w:type="dxa" w:w="188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M365管理者</w:t>
            </w:r>
          </w:p>
        </w:tc>
        <w:tc>
          <w:tcPr>
            <w:tcW w:type="dxa" w:w="104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5分</w:t>
            </w:r>
          </w:p>
        </w:tc>
      </w:tr>
      <w:tr>
        <w:trPr>
          <w:cantSplit/>
        </w:trPr>
        <w:tc>
          <w:tcPr>
            <w:tcW w:type="dxa" w:w="67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APIアクセス許可 Sites.Selected を付与し、管理者の同意を実行</w:t>
            </w:r>
          </w:p>
        </w:tc>
        <w:tc>
          <w:tcPr>
            <w:tcW w:type="dxa" w:w="188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M365管理者</w:t>
            </w:r>
          </w:p>
        </w:tc>
        <w:tc>
          <w:tcPr>
            <w:tcW w:type="dxa" w:w="104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5分</w:t>
            </w:r>
          </w:p>
        </w:tc>
      </w:tr>
      <w:tr>
        <w:trPr>
          <w:cantSplit/>
        </w:trPr>
        <w:tc>
          <w:tcPr>
            <w:tcW w:type="dxa" w:w="67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対象サイトにアプリの書き込み権限を付与（忘れやすい工程）</w:t>
            </w:r>
          </w:p>
        </w:tc>
        <w:tc>
          <w:tcPr>
            <w:tcW w:type="dxa" w:w="188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M365管理者</w:t>
            </w:r>
          </w:p>
        </w:tc>
        <w:tc>
          <w:tcPr>
            <w:tcW w:type="dxa" w:w="104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10分</w:t>
            </w:r>
          </w:p>
        </w:tc>
      </w:tr>
      <w:tr>
        <w:trPr>
          <w:cantSplit/>
        </w:trPr>
        <w:tc>
          <w:tcPr>
            <w:tcW w:type="dxa" w:w="67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Excelの範囲を「テーブル」に変換し、テーブル名を付ける</w:t>
            </w:r>
          </w:p>
        </w:tc>
        <w:tc>
          <w:tcPr>
            <w:tcW w:type="dxa" w:w="188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担当者</w:t>
            </w:r>
          </w:p>
        </w:tc>
        <w:tc>
          <w:tcPr>
            <w:tcW w:type="dxa" w:w="104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5分</w:t>
            </w:r>
          </w:p>
        </w:tc>
      </w:tr>
      <w:tr>
        <w:trPr>
          <w:cantSplit/>
        </w:trPr>
        <w:tc>
          <w:tcPr>
            <w:tcW w:type="dxa" w:w="67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テナントID・クライアントID・サイトURL・ファイル名・テーブル名を制作側へ共有</w:t>
            </w:r>
          </w:p>
        </w:tc>
        <w:tc>
          <w:tcPr>
            <w:tcW w:type="dxa" w:w="188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担当者</w:t>
            </w:r>
          </w:p>
        </w:tc>
        <w:tc>
          <w:tcPr>
            <w:tcW w:type="dxa" w:w="104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w:t>
            </w:r>
          </w:p>
        </w:tc>
      </w:tr>
      <w:tr>
        <w:trPr>
          <w:cantSplit/>
        </w:trPr>
        <w:tc>
          <w:tcPr>
            <w:tcW w:type="dxa" w:w="67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シークレットを wp-config.php に入力（制作側と画面共有でも可）</w:t>
            </w:r>
          </w:p>
        </w:tc>
        <w:tc>
          <w:tcPr>
            <w:tcW w:type="dxa" w:w="188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担当者</w:t>
            </w:r>
          </w:p>
        </w:tc>
        <w:tc>
          <w:tcPr>
            <w:tcW w:type="dxa" w:w="104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5分</w:t>
            </w:r>
          </w:p>
        </w:tc>
      </w:tr>
    </w:tbl>
    <w:p>
      <w:pPr>
        <w:spacing w:after="160" w:before="0"/>
      </w:pPr>
    </w:p>
    <w:p>
      <w:r>
        <w:t xml:space="preserve">シークレットはパスワードに相当します。メールやチャットでは送らず、担当者が直接入力する運用とします。</w:t>
      </w:r>
    </w:p>
    <w:p>
      <w:pPr>
        <w:pStyle w:val="Heading2"/>
      </w:pPr>
      <w:r>
        <w:t xml:space="preserve">列マッピング案</w:t>
      </w:r>
    </w:p>
    <w:p>
      <w:r>
        <w:t xml:space="preserve">6つのフォームは項目が異なるため、既存の管理表の形に合わせて次のいずれかを選びます。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45"/>
        <w:gridCol w:w="4346"/>
        <w:gridCol w:w="2647"/>
      </w:tblGrid>
      <w:tr>
        <w:trPr>
          <w:cantSplit/>
          <w:tblHeader/>
        </w:trPr>
        <w:tc>
          <w:tcPr>
            <w:tcW w:type="dxa" w:w="2645"/>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案</w:t>
            </w:r>
          </w:p>
        </w:tc>
        <w:tc>
          <w:tcPr>
            <w:tcW w:type="dxa" w:w="4346"/>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内容</w:t>
            </w:r>
          </w:p>
        </w:tc>
        <w:tc>
          <w:tcPr>
            <w:tcW w:type="dxa" w:w="2647"/>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向いている場合</w:t>
            </w:r>
          </w:p>
        </w:tc>
      </w:tr>
      <w:tr>
        <w:trPr>
          <w:cantSplit/>
        </w:trPr>
        <w:tc>
          <w:tcPr>
            <w:tcW w:type="dxa" w:w="264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A：フォームごとにシートを分ける</w:t>
            </w:r>
          </w:p>
        </w:tc>
        <w:tc>
          <w:tcPr>
            <w:tcW w:type="dxa" w:w="434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6フォーム＝6テーブル。列は各フォームの項目そのまま</w:t>
            </w:r>
          </w:p>
        </w:tc>
        <w:tc>
          <w:tcPr>
            <w:tcW w:type="dxa" w:w="2647"/>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管理表が依頼種別ごとに分かれている</w:t>
            </w:r>
          </w:p>
        </w:tc>
      </w:tr>
      <w:tr>
        <w:trPr>
          <w:cantSplit/>
        </w:trPr>
        <w:tc>
          <w:tcPr>
            <w:tcW w:type="dxa" w:w="264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B：1シートに共通列＋内容列</w:t>
            </w:r>
          </w:p>
        </w:tc>
        <w:tc>
          <w:tcPr>
            <w:tcW w:type="dxa" w:w="434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送信ID・日時・フォーム名・会社名・担当者・メール＋「内容」列に全項目をまとめて記載</w:t>
            </w:r>
          </w:p>
        </w:tc>
        <w:tc>
          <w:tcPr>
            <w:tcW w:type="dxa" w:w="2647"/>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全依頼を1つの一覧で追いたい</w:t>
            </w:r>
          </w:p>
        </w:tc>
      </w:tr>
      <w:tr>
        <w:trPr>
          <w:cantSplit/>
        </w:trPr>
        <w:tc>
          <w:tcPr>
            <w:tcW w:type="dxa" w:w="264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C：AとBの併用</w:t>
            </w:r>
          </w:p>
        </w:tc>
        <w:tc>
          <w:tcPr>
            <w:tcW w:type="dxa" w:w="434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全体一覧＋フォーム別詳細</w:t>
            </w:r>
          </w:p>
        </w:tc>
        <w:tc>
          <w:tcPr>
            <w:tcW w:type="dxa" w:w="2647"/>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両方欲しい</w:t>
            </w:r>
          </w:p>
        </w:tc>
      </w:tr>
    </w:tbl>
    <w:p>
      <w:pPr>
        <w:spacing w:after="160" w:before="0"/>
      </w:pPr>
    </w:p>
    <w:p>
      <w:r>
        <w:t xml:space="preserve">対応表（CF7の項目名 → Excelの列名）はテーマ内の設定ファイルで管理します。書き込み前にテーブルの見出し行を取得して対応表と照合し、列がずれていれば書かずにエラーとします。間違った列に入ることを防ぎます。</w:t>
      </w:r>
    </w:p>
    <w:p>
      <w:pPr>
        <w:pStyle w:val="Heading2"/>
      </w:pPr>
      <w:r>
        <w:t xml:space="preserve">データ型・書式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データ</w:t>
            </w:r>
          </w:p>
        </w:tc>
        <w:tc>
          <w:tcPr>
            <w:tcW w:type="dxa" w:w="7028"/>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Excelでの扱い</w:t>
            </w:r>
          </w:p>
        </w:tc>
      </w:tr>
      <w:tr>
        <w:trPr>
          <w:cantSplit/>
        </w:trPr>
        <w:tc>
          <w:tcPr>
            <w:tcW w:type="dxa" w:w="261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送信日時</w:t>
            </w:r>
          </w:p>
        </w:tc>
        <w:tc>
          <w:tcPr>
            <w:tcW w:type="dxa" w:w="7028"/>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「2026/09/21 14:05」の文字列。日付として集計したい場合は列の書式に合わせてシリアル値でも可</w:t>
            </w:r>
          </w:p>
        </w:tc>
      </w:tr>
      <w:tr>
        <w:trPr>
          <w:cantSplit/>
        </w:trPr>
        <w:tc>
          <w:tcPr>
            <w:tcW w:type="dxa" w:w="261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価格（万円）</w:t>
            </w:r>
          </w:p>
        </w:tc>
        <w:tc>
          <w:tcPr>
            <w:tcW w:type="dxa" w:w="7028"/>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数値。単位は列見出しに「（万円）」</w:t>
            </w:r>
          </w:p>
        </w:tc>
      </w:tr>
      <w:tr>
        <w:trPr>
          <w:cantSplit/>
        </w:trPr>
        <w:tc>
          <w:tcPr>
            <w:tcW w:type="dxa" w:w="261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ラジオボタン</w:t>
            </w:r>
          </w:p>
        </w:tc>
        <w:tc>
          <w:tcPr>
            <w:tcW w:type="dxa" w:w="7028"/>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選択肢の文字列</w:t>
            </w:r>
          </w:p>
        </w:tc>
      </w:tr>
      <w:tr>
        <w:trPr>
          <w:cantSplit/>
        </w:trPr>
        <w:tc>
          <w:tcPr>
            <w:tcW w:type="dxa" w:w="261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チェックボックス（複数選択）</w:t>
            </w:r>
          </w:p>
        </w:tc>
        <w:tc>
          <w:tcPr>
            <w:tcW w:type="dxa" w:w="7028"/>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「価格 / スピード / 近隣配慮」のように「 / 」区切り</w:t>
            </w:r>
          </w:p>
        </w:tc>
      </w:tr>
      <w:tr>
        <w:trPr>
          <w:cantSplit/>
        </w:trPr>
        <w:tc>
          <w:tcPr>
            <w:tcW w:type="dxa" w:w="261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未回答</w:t>
            </w:r>
          </w:p>
        </w:tc>
        <w:tc>
          <w:tcPr>
            <w:tcW w:type="dxa" w:w="7028"/>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空欄。集計しやすくするため「未回答」の文字は入れない</w:t>
            </w:r>
          </w:p>
        </w:tc>
      </w:tr>
      <w:tr>
        <w:trPr>
          <w:cantSplit/>
        </w:trPr>
        <w:tc>
          <w:tcPr>
            <w:tcW w:type="dxa" w:w="261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添付ファイル</w:t>
            </w:r>
          </w:p>
        </w:tc>
        <w:tc>
          <w:tcPr>
            <w:tcW w:type="dxa" w:w="7028"/>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ファイル名。複数は「 / 」区切り</w:t>
            </w:r>
          </w:p>
        </w:tc>
      </w:tr>
      <w:tr>
        <w:trPr>
          <w:cantSplit/>
        </w:trPr>
        <w:tc>
          <w:tcPr>
            <w:tcW w:type="dxa" w:w="261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送信ID</w:t>
            </w:r>
          </w:p>
        </w:tc>
        <w:tc>
          <w:tcPr>
            <w:tcW w:type="dxa" w:w="7028"/>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文字列。再送時は書き込み前にこのIDの有無を確認し、二重登録を防ぐ</w:t>
            </w:r>
          </w:p>
        </w:tc>
      </w:tr>
    </w:tbl>
    <w:p>
      <w:pPr>
        <w:spacing w:after="160" w:before="0"/>
      </w:pPr>
    </w:p>
    <w:p>
      <w:pPr>
        <w:pStyle w:val="Heading2"/>
      </w:pPr>
      <w:r>
        <w:t xml:space="preserve">例外・競合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事象</w:t>
            </w:r>
          </w:p>
        </w:tc>
        <w:tc>
          <w:tcPr>
            <w:tcW w:type="dxa" w:w="6024"/>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対応</w:t>
            </w:r>
          </w:p>
        </w:tc>
      </w:tr>
      <w:tr>
        <w:trPr>
          <w:cantSplit/>
        </w:trPr>
        <w:tc>
          <w:tcPr>
            <w:tcW w:type="dxa" w:w="361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誰かがデスクトップ版Excelで開いていてロック中</w:t>
            </w:r>
          </w:p>
        </w:tc>
        <w:tc>
          <w:tcPr>
            <w:tcW w:type="dxa" w:w="602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エラーを検知して再送キューへ。Excel Onlineでの同時編集とは共存できる</w:t>
            </w:r>
          </w:p>
        </w:tc>
      </w:tr>
      <w:tr>
        <w:trPr>
          <w:cantSplit/>
        </w:trPr>
        <w:tc>
          <w:tcPr>
            <w:tcW w:type="dxa" w:w="361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テーブルの列が変更された</w:t>
            </w:r>
          </w:p>
        </w:tc>
        <w:tc>
          <w:tcPr>
            <w:tcW w:type="dxa" w:w="602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見出し照合で検知し、書かずに失敗として通知</w:t>
            </w:r>
          </w:p>
        </w:tc>
      </w:tr>
      <w:tr>
        <w:trPr>
          <w:cantSplit/>
        </w:trPr>
        <w:tc>
          <w:tcPr>
            <w:tcW w:type="dxa" w:w="361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シークレットの期限切れ</w:t>
            </w:r>
          </w:p>
        </w:tc>
        <w:tc>
          <w:tcPr>
            <w:tcW w:type="dxa" w:w="602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認証エラーを通知。管理画面に期限を表示し、30日前から警告</w:t>
            </w:r>
          </w:p>
        </w:tc>
      </w:tr>
      <w:tr>
        <w:trPr>
          <w:cantSplit/>
        </w:trPr>
        <w:tc>
          <w:tcPr>
            <w:tcW w:type="dxa" w:w="361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ファイルの削除・作り直し</w:t>
            </w:r>
          </w:p>
        </w:tc>
        <w:tc>
          <w:tcPr>
            <w:tcW w:type="dxa" w:w="602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IDが変わるため再設定（制作側で対応）</w:t>
            </w:r>
          </w:p>
        </w:tc>
      </w:tr>
      <w:tr>
        <w:trPr>
          <w:cantSplit/>
        </w:trPr>
        <w:tc>
          <w:tcPr>
            <w:tcW w:type="dxa" w:w="361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Microsoft側の一時障害</w:t>
            </w:r>
          </w:p>
        </w:tc>
        <w:tc>
          <w:tcPr>
            <w:tcW w:type="dxa" w:w="602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再送キューへ</w:t>
            </w:r>
          </w:p>
        </w:tc>
      </w:tr>
      <w:tr>
        <w:trPr>
          <w:cantSplit/>
        </w:trPr>
        <w:tc>
          <w:tcPr>
            <w:tcW w:type="dxa" w:w="361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ファイル名変更・フォルダ移動</w:t>
            </w:r>
          </w:p>
        </w:tc>
        <w:tc>
          <w:tcPr>
            <w:tcW w:type="dxa" w:w="602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影響なし</w:t>
            </w:r>
          </w:p>
        </w:tc>
      </w:tr>
    </w:tbl>
    <w:p>
      <w:pPr>
        <w:spacing w:after="160" w:before="0"/>
      </w:pPr>
    </w:p>
    <w:p>
      <w:pPr>
        <w:pStyle w:val="Heading2"/>
      </w:pPr>
      <w:r>
        <w:t xml:space="preserve">実験計画</w:t>
      </w:r>
    </w:p>
    <w:p>
      <w:pPr>
        <w:pStyle w:val="ListParagraph"/>
        <w:numPr>
          <w:ilvl w:val="0"/>
          <w:numId w:val="4"/>
        </w:numPr>
        <w:spacing w:after="60"/>
      </w:pPr>
      <w:r>
        <w:t xml:space="preserve">手動確認（30分）：Microsoftのテストツール（Graph Explorer）からテスト用Excelに1行追記し、権限設定が正しいことを確定する。</w:t>
      </w:r>
    </w:p>
    <w:p>
      <w:pPr>
        <w:pStyle w:val="ListParagraph"/>
        <w:numPr>
          <w:ilvl w:val="0"/>
          <w:numId w:val="4"/>
        </w:numPr>
        <w:spacing w:after="60"/>
      </w:pPr>
      <w:r>
        <w:t xml:space="preserve">テストシート（半日）：本番と同じ列構成のコピーに、テストフォームから送信する。型・書式・複数選択・未回答の扱いを確認。</w:t>
      </w:r>
    </w:p>
    <w:p>
      <w:pPr>
        <w:pStyle w:val="ListParagraph"/>
        <w:numPr>
          <w:ilvl w:val="0"/>
          <w:numId w:val="4"/>
        </w:numPr>
        <w:spacing w:after="60"/>
      </w:pPr>
      <w:r>
        <w:t xml:space="preserve">本番シートでの限定運用（1週間）：本番の管理表に接続し、事務局がメールと行を突き合わせる。従来のメール運用は継続。</w:t>
      </w:r>
    </w:p>
    <w:p>
      <w:pPr>
        <w:pStyle w:val="ListParagraph"/>
        <w:numPr>
          <w:ilvl w:val="0"/>
          <w:numId w:val="4"/>
        </w:numPr>
        <w:spacing w:after="60"/>
      </w:pPr>
      <w:r>
        <w:t xml:space="preserve">本運用：問題がなければ全フォームを対象にする。</w:t>
      </w:r>
    </w:p>
    <w:p>
      <w:pPr>
        <w:pStyle w:val="Heading2"/>
      </w:pPr>
      <w:r>
        <w:t xml:space="preserve">運用</w:t>
      </w:r>
    </w:p>
    <w:p>
      <w:pPr>
        <w:pStyle w:val="ListParagraph"/>
        <w:numPr>
          <w:ilvl w:val="0"/>
          <w:numId w:val="2"/>
        </w:numPr>
        <w:spacing w:after="60"/>
      </w:pPr>
      <w:r>
        <w:t xml:space="preserve">シークレット更新：期限の30日前から管理画面に警告。管理者が新しいシークレットを発行し、wp-config.php を差し替える（5分）。手順は運用マニュアルに追記する。</w:t>
      </w:r>
    </w:p>
    <w:p>
      <w:pPr>
        <w:pStyle w:val="ListParagraph"/>
        <w:numPr>
          <w:ilvl w:val="0"/>
          <w:numId w:val="2"/>
        </w:numPr>
        <w:spacing w:after="60"/>
      </w:pPr>
      <w:r>
        <w:t xml:space="preserve">監視：管理画面のダッシュボードに未配信件数と最終成功日時を表示する。</w:t>
      </w:r>
    </w:p>
    <w:p>
      <w:pPr>
        <w:pStyle w:val="ListParagraph"/>
        <w:numPr>
          <w:ilvl w:val="0"/>
          <w:numId w:val="2"/>
        </w:numPr>
        <w:spacing w:after="60"/>
      </w:pPr>
      <w:r>
        <w:t xml:space="preserve">列の追加・変更：制作側で対応表を更新する（軽微な修正）。</w:t>
      </w:r>
    </w:p>
    <w:p>
      <w:pPr>
        <w:pStyle w:val="Heading2"/>
      </w:pPr>
      <w:r>
        <w:t xml:space="preserve">工数</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5860"/>
        <w:gridCol w:w="1340"/>
      </w:tblGrid>
      <w:tr>
        <w:trPr>
          <w:cantSplit/>
          <w:tblHeader/>
        </w:trPr>
        <w:tc>
          <w:tcPr>
            <w:tcW w:type="dxa" w:w="5860"/>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作業</w:t>
            </w:r>
          </w:p>
        </w:tc>
        <w:tc>
          <w:tcPr>
            <w:tcW w:type="dxa" w:w="1340"/>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日数</w:t>
            </w:r>
          </w:p>
        </w:tc>
      </w:tr>
      <w:tr>
        <w:trPr>
          <w:cantSplit/>
        </w:trPr>
        <w:tc>
          <w:tcPr>
            <w:tcW w:type="dxa" w:w="586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共通基盤（控え保存・キュー・管理画面・再送）</w:t>
            </w:r>
          </w:p>
        </w:tc>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1.5日</w:t>
            </w:r>
          </w:p>
        </w:tc>
      </w:tr>
      <w:tr>
        <w:trPr>
          <w:cantSplit/>
        </w:trPr>
        <w:tc>
          <w:tcPr>
            <w:tcW w:type="dxa" w:w="586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Graph連携（認証・行追加・見出し照合・重複防止）</w:t>
            </w:r>
          </w:p>
        </w:tc>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1日</w:t>
            </w:r>
          </w:p>
        </w:tc>
      </w:tr>
      <w:tr>
        <w:trPr>
          <w:cantSplit/>
        </w:trPr>
        <w:tc>
          <w:tcPr>
            <w:tcW w:type="dxa" w:w="586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実験・調整（段階1〜2）</w:t>
            </w:r>
          </w:p>
        </w:tc>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0.5〜1日</w:t>
            </w:r>
          </w:p>
        </w:tc>
      </w:tr>
      <w:tr>
        <w:trPr>
          <w:cantSplit/>
        </w:trPr>
        <w:tc>
          <w:tcPr>
            <w:tcW w:type="dxa" w:w="586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運用マニュアル追記</w:t>
            </w:r>
          </w:p>
        </w:tc>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0.5日</w:t>
            </w:r>
          </w:p>
        </w:tc>
      </w:tr>
    </w:tbl>
    <w:p>
      <w:pPr>
        <w:spacing w:after="160" w:before="0"/>
      </w:pPr>
    </w:p>
    <w:p>
      <w:r>
        <w:t xml:space="preserve">合計3.5〜4日です。クライアント側の準備作業（上記の表）は別途です。</w:t>
      </w:r>
    </w:p>
    <w:p>
      <w:pPr>
        <w:pStyle w:val="Heading1"/>
        <w:pageBreakBefore/>
      </w:pPr>
      <w:r>
        <w:rPr>
          <w:color w:val="1F6FE0"/>
        </w:rPr>
        <w:t xml:space="preserve">5　</w:t>
      </w:r>
      <w:r>
        <w:t xml:space="preserve">調速（Next.js／Supabase／Vercel）連携の概要</w:t>
      </w:r>
      <w:r>
        <w:rPr>
          <w:b w:val="false"/>
          <w:bCs w:val="false"/>
          <w:color w:val="0D3FA6"/>
          <w:sz w:val="20"/>
          <w:szCs w:val="20"/>
        </w:rPr>
        <w:t xml:space="preserve">　ご相談（2）</w:t>
      </w:r>
    </w:p>
    <w:p>
      <w:r>
        <w:t xml:space="preserve">共通基盤の送り先に「調速」を追加し、調速側に用意する受け口（API）へ送信内容をWebhookで送ります。調速側の設計は別途とし、ここではWP側の方針と決めるべきことだけを示します。</w:t>
      </w:r>
    </w:p>
    <w:p>
      <w:pPr>
        <w:pStyle w:val="Heading2"/>
      </w:pPr>
      <w:r>
        <w:t xml:space="preserve">方式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3469"/>
        <w:gridCol w:w="3471"/>
      </w:tblGrid>
      <w:tr>
        <w:trPr>
          <w:cantSplit/>
          <w:tblHeader/>
        </w:trPr>
        <w:tc>
          <w:tcPr>
            <w:tcW w:type="dxa" w:w="2698"/>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受け口</w:t>
            </w:r>
          </w:p>
        </w:tc>
        <w:tc>
          <w:tcPr>
            <w:tcW w:type="dxa" w:w="3469"/>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内容</w:t>
            </w:r>
          </w:p>
        </w:tc>
        <w:tc>
          <w:tcPr>
            <w:tcW w:type="dxa" w:w="3471"/>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特徴</w:t>
            </w:r>
          </w:p>
        </w:tc>
      </w:tr>
      <w:tr>
        <w:trPr>
          <w:cantSplit/>
        </w:trPr>
        <w:tc>
          <w:tcPr>
            <w:tcW w:type="dxa" w:w="2698"/>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A：Next.jsのAPI Route（Vercel）</w:t>
            </w:r>
          </w:p>
        </w:tc>
        <w:tc>
          <w:tcPr>
            <w:tcW w:type="dxa" w:w="346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例：/api/tsunagu/webhook で受け取りSupabaseに保存</w:t>
            </w:r>
          </w:p>
        </w:tc>
        <w:tc>
          <w:tcPr>
            <w:tcW w:type="dxa" w:w="3471"/>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調速のコード内で完結。既存の型定義・DBアクセスを再利用できる</w:t>
            </w:r>
          </w:p>
        </w:tc>
      </w:tr>
      <w:tr>
        <w:trPr>
          <w:cantSplit/>
        </w:trPr>
        <w:tc>
          <w:tcPr>
            <w:tcW w:type="dxa" w:w="2698"/>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B：Supabase Edge Function</w:t>
            </w:r>
          </w:p>
        </w:tc>
        <w:tc>
          <w:tcPr>
            <w:tcW w:type="dxa" w:w="346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Supabase側で直接受ける</w:t>
            </w:r>
          </w:p>
        </w:tc>
        <w:tc>
          <w:tcPr>
            <w:tcW w:type="dxa" w:w="3471"/>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Next.jsに変更不要。Vercelを経由しない</w:t>
            </w:r>
          </w:p>
        </w:tc>
      </w:tr>
    </w:tbl>
    <w:p>
      <w:pPr>
        <w:spacing w:after="160" w:before="0"/>
      </w:pPr>
    </w:p>
    <w:p>
      <w:r>
        <w:t xml:space="preserve">どちらでもWP側の作りは変わりません。調速の開発側が管理しやすい方を選んでください。</w:t>
      </w:r>
    </w:p>
    <w:p>
      <w:pPr>
        <w:pStyle w:val="Heading2"/>
      </w:pPr>
      <w:r>
        <w:t xml:space="preserve">WP側の方針</w:t>
      </w:r>
    </w:p>
    <w:p>
      <w:pPr>
        <w:pStyle w:val="ListParagraph"/>
        <w:numPr>
          <w:ilvl w:val="0"/>
          <w:numId w:val="2"/>
        </w:numPr>
        <w:spacing w:after="60"/>
      </w:pPr>
      <w:r>
        <w:t xml:space="preserve">共通基盤の送り先として追加し、付録の共通形式（JSON）をそのままPOSTする。</w:t>
      </w:r>
    </w:p>
    <w:p>
      <w:pPr>
        <w:pStyle w:val="ListParagraph"/>
        <w:numPr>
          <w:ilvl w:val="0"/>
          <w:numId w:val="2"/>
        </w:numPr>
        <w:spacing w:after="60"/>
      </w:pPr>
      <w:r>
        <w:t xml:space="preserve">共有秘密鍵によるHMAC署名とタイムスタンプ（5分以内）で検証する。鍵は wp-config.php とVercelの環境変数に置く。</w:t>
      </w:r>
    </w:p>
    <w:p>
      <w:pPr>
        <w:pStyle w:val="ListParagraph"/>
        <w:numPr>
          <w:ilvl w:val="0"/>
          <w:numId w:val="2"/>
        </w:numPr>
        <w:spacing w:after="60"/>
      </w:pPr>
      <w:r>
        <w:t xml:space="preserve">再送・失敗通知は共通基盤と同じ。</w:t>
      </w:r>
    </w:p>
    <w:p>
      <w:pPr>
        <w:pStyle w:val="ListParagraph"/>
        <w:numPr>
          <w:ilvl w:val="0"/>
          <w:numId w:val="2"/>
        </w:numPr>
        <w:spacing w:after="60"/>
      </w:pPr>
      <w:r>
        <w:t xml:space="preserve">フォーム単位で送る／送らないを選べるようにする（調速に関係する依頼だけを送る）。</w:t>
      </w:r>
    </w:p>
    <w:p>
      <w:pPr>
        <w:pStyle w:val="Heading2"/>
      </w:pPr>
      <w:r>
        <w:t xml:space="preserve">決めるべきこと（調速側）</w:t>
      </w:r>
    </w:p>
    <w:p>
      <w:pPr>
        <w:pStyle w:val="ListParagraph"/>
        <w:numPr>
          <w:ilvl w:val="0"/>
          <w:numId w:val="2"/>
        </w:numPr>
        <w:spacing w:after="60"/>
      </w:pPr>
      <w:r>
        <w:t xml:space="preserve">会員の突合キー：つなぐのWPユーザーと調速のユーザーをどう紐づけるか。メールアドレスの一致が最も簡単。</w:t>
      </w:r>
    </w:p>
    <w:p>
      <w:pPr>
        <w:pStyle w:val="ListParagraph"/>
        <w:numPr>
          <w:ilvl w:val="0"/>
          <w:numId w:val="2"/>
        </w:numPr>
        <w:spacing w:after="60"/>
      </w:pPr>
      <w:r>
        <w:t xml:space="preserve">保存先テーブル：管理表の列をそのまま列にするか、JSON列に丸ごと保存して後から整形するか。</w:t>
      </w:r>
    </w:p>
    <w:p>
      <w:pPr>
        <w:pStyle w:val="ListParagraph"/>
        <w:numPr>
          <w:ilvl w:val="0"/>
          <w:numId w:val="2"/>
        </w:numPr>
        <w:spacing w:after="60"/>
      </w:pPr>
      <w:r>
        <w:t xml:space="preserve">冪等性：送信IDをユニークキーにして二重登録を防ぐ。</w:t>
      </w:r>
    </w:p>
    <w:p>
      <w:pPr>
        <w:pStyle w:val="ListParagraph"/>
        <w:numPr>
          <w:ilvl w:val="0"/>
          <w:numId w:val="2"/>
        </w:numPr>
        <w:spacing w:after="60"/>
      </w:pPr>
      <w:r>
        <w:t xml:space="preserve">受け口を誰がいつ作るか。</w:t>
      </w:r>
    </w:p>
    <w:p>
      <w:pPr>
        <w:pStyle w:val="Heading2"/>
      </w:pPr>
      <w:r>
        <w:t xml:space="preserve">工数</w:t>
      </w:r>
    </w:p>
    <w:p>
      <w:r>
        <w:t xml:space="preserve">WP側は共通基盤があれば0.5日。調速側の受け口は1日〜（別途）。</w:t>
      </w:r>
    </w:p>
    <w:p>
      <w:pPr>
        <w:pStyle w:val="Heading1"/>
        <w:pageBreakBefore/>
      </w:pPr>
      <w:r>
        <w:rPr>
          <w:color w:val="1F6FE0"/>
        </w:rPr>
        <w:t xml:space="preserve">6　</w:t>
      </w:r>
      <w:r>
        <w:t xml:space="preserve">実施順序・スケジュール案</w:t>
      </w:r>
    </w:p>
    <w:p>
      <w:r>
        <w:t xml:space="preserve">広告枠は他に依存しないため先行して着手できます。Excel連携はクライアント側の準備（Entra登録・テーブル化）が先に必要で、調速連携は共通基盤の後になります。</w:t>
      </w:r>
    </w:p>
    <w:p>
      <w:pPr>
        <w:keepNext/>
        <w:spacing w:after="60" w:before="160"/>
        <w:jc w:val="center"/>
      </w:pPr>
      <w:r>
        <w:drawing>
          <wp:inline distT="0" distB="0" distL="0" distR="0">
            <wp:extent cx="5334000" cy="2638425"/>
            <wp:effectExtent t="0" r="0" b="0" l="0"/>
            <wp:docPr id="4" name="phase" descr="実施フェーズと依存関係" title="実施フェーズと依存関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38425"/>
                    </a:xfrm>
                    <a:prstGeom prst="rect">
                      <a:avLst/>
                    </a:prstGeom>
                  </pic:spPr>
                </pic:pic>
              </a:graphicData>
            </a:graphic>
          </wp:inline>
        </w:drawing>
      </w:r>
    </w:p>
    <w:p>
      <w:pPr>
        <w:spacing w:after="220"/>
        <w:jc w:val="center"/>
      </w:pPr>
      <w:r>
        <w:rPr>
          <w:color w:val="5D6B7E"/>
          <w:sz w:val="18"/>
          <w:szCs w:val="18"/>
        </w:rPr>
        <w:t xml:space="preserve">図4　実施フェーズと依存関係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5"/>
        <w:gridCol w:w="4091"/>
        <w:gridCol w:w="1909"/>
        <w:gridCol w:w="2093"/>
      </w:tblGrid>
      <w:tr>
        <w:trPr>
          <w:cantSplit/>
          <w:tblHeader/>
        </w:trPr>
        <w:tc>
          <w:tcPr>
            <w:tcW w:type="dxa" w:w="1545"/>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フェーズ</w:t>
            </w:r>
          </w:p>
        </w:tc>
        <w:tc>
          <w:tcPr>
            <w:tcW w:type="dxa" w:w="4091"/>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内容</w:t>
            </w:r>
          </w:p>
        </w:tc>
        <w:tc>
          <w:tcPr>
            <w:tcW w:type="dxa" w:w="1909"/>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期間目安</w:t>
            </w:r>
          </w:p>
        </w:tc>
        <w:tc>
          <w:tcPr>
            <w:tcW w:type="dxa" w:w="2093"/>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8"/>
                <w:szCs w:val="18"/>
              </w:rPr>
              <w:t xml:space="preserve">先行条件</w:t>
            </w:r>
          </w:p>
        </w:tc>
      </w:tr>
      <w:tr>
        <w:trPr>
          <w:cantSplit/>
        </w:trPr>
        <w:tc>
          <w:tcPr>
            <w:tcW w:type="dxa" w:w="154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0：準備</w:t>
            </w:r>
          </w:p>
        </w:tc>
        <w:tc>
          <w:tcPr>
            <w:tcW w:type="dxa" w:w="4091"/>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方針決定、Entraアプリ登録、Excelテーブル化、列構成の共有</w:t>
            </w:r>
          </w:p>
        </w:tc>
        <w:tc>
          <w:tcPr>
            <w:tcW w:type="dxa" w:w="190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1週間（クライアント作業）</w:t>
            </w:r>
          </w:p>
        </w:tc>
        <w:tc>
          <w:tcPr>
            <w:tcW w:type="dxa" w:w="2093"/>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なし</w:t>
            </w:r>
          </w:p>
        </w:tc>
      </w:tr>
      <w:tr>
        <w:trPr>
          <w:cantSplit/>
        </w:trPr>
        <w:tc>
          <w:tcPr>
            <w:tcW w:type="dxa" w:w="154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1：広告枠</w:t>
            </w:r>
          </w:p>
        </w:tc>
        <w:tc>
          <w:tcPr>
            <w:tcW w:type="dxa" w:w="4091"/>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表示、ACF、計測、レポート画面</w:t>
            </w:r>
          </w:p>
        </w:tc>
        <w:tc>
          <w:tcPr>
            <w:tcW w:type="dxa" w:w="190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2日</w:t>
            </w:r>
          </w:p>
        </w:tc>
        <w:tc>
          <w:tcPr>
            <w:tcW w:type="dxa" w:w="2093"/>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なし（フェーズ0と並行可）</w:t>
            </w:r>
          </w:p>
        </w:tc>
      </w:tr>
      <w:tr>
        <w:trPr>
          <w:cantSplit/>
        </w:trPr>
        <w:tc>
          <w:tcPr>
            <w:tcW w:type="dxa" w:w="154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2：共通基盤＋Excel実験</w:t>
            </w:r>
          </w:p>
        </w:tc>
        <w:tc>
          <w:tcPr>
            <w:tcW w:type="dxa" w:w="4091"/>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控え保存・キュー・管理画面、Graph連携、実験段階1〜2</w:t>
            </w:r>
          </w:p>
        </w:tc>
        <w:tc>
          <w:tcPr>
            <w:tcW w:type="dxa" w:w="190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3日</w:t>
            </w:r>
          </w:p>
        </w:tc>
        <w:tc>
          <w:tcPr>
            <w:tcW w:type="dxa" w:w="2093"/>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フェーズ0</w:t>
            </w:r>
          </w:p>
        </w:tc>
      </w:tr>
      <w:tr>
        <w:trPr>
          <w:cantSplit/>
        </w:trPr>
        <w:tc>
          <w:tcPr>
            <w:tcW w:type="dxa" w:w="154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3：Excel限定運用</w:t>
            </w:r>
          </w:p>
        </w:tc>
        <w:tc>
          <w:tcPr>
            <w:tcW w:type="dxa" w:w="4091"/>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本番シートでの並行運用、突き合わせ</w:t>
            </w:r>
          </w:p>
        </w:tc>
        <w:tc>
          <w:tcPr>
            <w:tcW w:type="dxa" w:w="190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1週間</w:t>
            </w:r>
          </w:p>
        </w:tc>
        <w:tc>
          <w:tcPr>
            <w:tcW w:type="dxa" w:w="2093"/>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フェーズ2</w:t>
            </w:r>
          </w:p>
        </w:tc>
      </w:tr>
      <w:tr>
        <w:trPr>
          <w:cantSplit/>
        </w:trPr>
        <w:tc>
          <w:tcPr>
            <w:tcW w:type="dxa" w:w="154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4：Excel本運用</w:t>
            </w:r>
          </w:p>
        </w:tc>
        <w:tc>
          <w:tcPr>
            <w:tcW w:type="dxa" w:w="4091"/>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全フォーム対象化、マニュアル追記</w:t>
            </w:r>
          </w:p>
        </w:tc>
        <w:tc>
          <w:tcPr>
            <w:tcW w:type="dxa" w:w="190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0.5日</w:t>
            </w:r>
          </w:p>
        </w:tc>
        <w:tc>
          <w:tcPr>
            <w:tcW w:type="dxa" w:w="2093"/>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8"/>
                <w:szCs w:val="18"/>
              </w:rPr>
              <w:t xml:space="preserve">フェーズ3</w:t>
            </w:r>
          </w:p>
        </w:tc>
      </w:tr>
      <w:tr>
        <w:trPr>
          <w:cantSplit/>
        </w:trPr>
        <w:tc>
          <w:tcPr>
            <w:tcW w:type="dxa" w:w="154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5：調速連携</w:t>
            </w:r>
          </w:p>
        </w:tc>
        <w:tc>
          <w:tcPr>
            <w:tcW w:type="dxa" w:w="4091"/>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WP側の送り先追加、調速側の受け口</w:t>
            </w:r>
          </w:p>
        </w:tc>
        <w:tc>
          <w:tcPr>
            <w:tcW w:type="dxa" w:w="190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WP 0.5日＋調速側</w:t>
            </w:r>
          </w:p>
        </w:tc>
        <w:tc>
          <w:tcPr>
            <w:tcW w:type="dxa" w:w="2093"/>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8"/>
                <w:szCs w:val="18"/>
              </w:rPr>
              <w:t xml:space="preserve">フェーズ2、調速側の準備</w:t>
            </w:r>
          </w:p>
        </w:tc>
      </w:tr>
    </w:tbl>
    <w:p>
      <w:pPr>
        <w:spacing w:after="160" w:before="0"/>
      </w:pPr>
    </w:p>
    <w:p>
      <w:r>
        <w:t xml:space="preserve">開発工数の合計は約6日（広告枠2日＋Excel連携3.5日＋調速WP側0.5日）です。最短では、フェーズ0の間に広告枠を完成させ、その後3週間でExcel本運用まで到達できます。</w:t>
      </w:r>
    </w:p>
    <w:p>
      <w:pPr>
        <w:pStyle w:val="Heading1"/>
        <w:pageBreakBefore/>
      </w:pPr>
      <w:r>
        <w:rPr>
          <w:color w:val="1F6FE0"/>
        </w:rPr>
        <w:t xml:space="preserve">7　</w:t>
      </w:r>
      <w:r>
        <w:t xml:space="preserve">決めていただきたいこと</w:t>
      </w:r>
    </w:p>
    <w:p>
      <w:r>
        <w:t xml:space="preserve">実装に入る前に、次の項目をクライアントと確認します。上から順に、決まらないと着手できないものです。</w:t>
      </w:r>
    </w:p>
    <w:p>
      <w:pPr>
        <w:pStyle w:val="Heading2"/>
      </w:pPr>
      <w:r>
        <w:t xml:space="preserve">広告枠</w:t>
      </w:r>
    </w:p>
    <w:p>
      <w:pPr>
        <w:pStyle w:val="ListParagraph"/>
        <w:numPr>
          <w:ilvl w:val="0"/>
          <w:numId w:val="5"/>
        </w:numPr>
        <w:spacing w:after="60"/>
      </w:pPr>
      <w:r>
        <w:t xml:space="preserve">枠の位置と数は本書の案（枠A横長＋枠B矩形最大3枚）でよいか</w:t>
      </w:r>
    </w:p>
    <w:p>
      <w:pPr>
        <w:pStyle w:val="ListParagraph"/>
        <w:numPr>
          <w:ilvl w:val="0"/>
          <w:numId w:val="5"/>
        </w:numPr>
        <w:spacing w:after="60"/>
      </w:pPr>
      <w:r>
        <w:t xml:space="preserve">計測・レポートは初回から必要か、表示のみを先行するか</w:t>
      </w:r>
    </w:p>
    <w:p>
      <w:pPr>
        <w:pStyle w:val="ListParagraph"/>
        <w:numPr>
          <w:ilvl w:val="0"/>
          <w:numId w:val="5"/>
        </w:numPr>
        <w:spacing w:after="60"/>
      </w:pPr>
      <w:r>
        <w:t xml:space="preserve">最初の広告主の当てはあるか（入稿サイズの調整に影響）</w:t>
      </w:r>
    </w:p>
    <w:p>
      <w:pPr>
        <w:pStyle w:val="ListParagraph"/>
        <w:numPr>
          <w:ilvl w:val="0"/>
          <w:numId w:val="5"/>
        </w:numPr>
        <w:spacing w:after="60"/>
      </w:pPr>
      <w:r>
        <w:t xml:space="preserve">掲載期間の単位（月単位など）と、掲載料を管理画面で記録するか</w:t>
      </w:r>
    </w:p>
    <w:p>
      <w:pPr>
        <w:pStyle w:val="Heading2"/>
      </w:pPr>
      <w:r>
        <w:t xml:space="preserve">Excel連携</w:t>
      </w:r>
    </w:p>
    <w:p>
      <w:pPr>
        <w:pStyle w:val="ListParagraph"/>
        <w:numPr>
          <w:ilvl w:val="0"/>
          <w:numId w:val="5"/>
        </w:numPr>
        <w:spacing w:after="60"/>
      </w:pPr>
      <w:r>
        <w:t xml:space="preserve">管理表のシートと列の構成（見出し行のスクリーンショット）</w:t>
      </w:r>
    </w:p>
    <w:p>
      <w:pPr>
        <w:pStyle w:val="ListParagraph"/>
        <w:numPr>
          <w:ilvl w:val="0"/>
          <w:numId w:val="5"/>
        </w:numPr>
        <w:spacing w:after="60"/>
      </w:pPr>
      <w:r>
        <w:t xml:space="preserve">6フォームを1シートに集約するか、フォームごとに分けるか（案A／B／C）</w:t>
      </w:r>
    </w:p>
    <w:p>
      <w:pPr>
        <w:pStyle w:val="ListParagraph"/>
        <w:numPr>
          <w:ilvl w:val="0"/>
          <w:numId w:val="5"/>
        </w:numPr>
        <w:spacing w:after="60"/>
      </w:pPr>
      <w:r>
        <w:t xml:space="preserve">SharePointサイトのURLとファイル名</w:t>
      </w:r>
    </w:p>
    <w:p>
      <w:pPr>
        <w:pStyle w:val="ListParagraph"/>
        <w:numPr>
          <w:ilvl w:val="0"/>
          <w:numId w:val="5"/>
        </w:numPr>
        <w:spacing w:after="60"/>
      </w:pPr>
      <w:r>
        <w:t xml:space="preserve">M365管理者の方の作業日程（所要30分）</w:t>
      </w:r>
    </w:p>
    <w:p>
      <w:pPr>
        <w:pStyle w:val="ListParagraph"/>
        <w:numPr>
          <w:ilvl w:val="0"/>
          <w:numId w:val="5"/>
        </w:numPr>
        <w:spacing w:after="60"/>
      </w:pPr>
      <w:r>
        <w:t xml:space="preserve">連携失敗時の通知先メールアドレス</w:t>
      </w:r>
    </w:p>
    <w:p>
      <w:pPr>
        <w:pStyle w:val="ListParagraph"/>
        <w:numPr>
          <w:ilvl w:val="0"/>
          <w:numId w:val="5"/>
        </w:numPr>
        <w:spacing w:after="60"/>
      </w:pPr>
      <w:r>
        <w:t xml:space="preserve">控えの保存期間（例：180日で自動削除）</w:t>
      </w:r>
    </w:p>
    <w:p>
      <w:pPr>
        <w:pStyle w:val="Heading2"/>
      </w:pPr>
      <w:r>
        <w:t xml:space="preserve">調速連携</w:t>
      </w:r>
    </w:p>
    <w:p>
      <w:pPr>
        <w:pStyle w:val="ListParagraph"/>
        <w:numPr>
          <w:ilvl w:val="0"/>
          <w:numId w:val="5"/>
        </w:numPr>
        <w:spacing w:after="60"/>
      </w:pPr>
      <w:r>
        <w:t xml:space="preserve">会員の突合キーはメールアドレスの一致でよいか</w:t>
      </w:r>
    </w:p>
    <w:p>
      <w:pPr>
        <w:pStyle w:val="ListParagraph"/>
        <w:numPr>
          <w:ilvl w:val="0"/>
          <w:numId w:val="5"/>
        </w:numPr>
        <w:spacing w:after="60"/>
      </w:pPr>
      <w:r>
        <w:t xml:space="preserve">受け口を調速側で作れるか、時期はいつか</w:t>
      </w:r>
    </w:p>
    <w:p>
      <w:pPr>
        <w:pStyle w:val="ListParagraph"/>
        <w:numPr>
          <w:ilvl w:val="0"/>
          <w:numId w:val="5"/>
        </w:numPr>
        <w:spacing w:after="60"/>
      </w:pPr>
      <w:r>
        <w:t xml:space="preserve">どのフォームを調速に送るか</w:t>
      </w:r>
    </w:p>
    <w:p>
      <w:pPr>
        <w:pStyle w:val="Heading2"/>
      </w:pPr>
      <w:r>
        <w:t xml:space="preserve">共通</w:t>
      </w:r>
    </w:p>
    <w:p>
      <w:pPr>
        <w:pStyle w:val="ListParagraph"/>
        <w:numPr>
          <w:ilvl w:val="0"/>
          <w:numId w:val="5"/>
        </w:numPr>
        <w:spacing w:after="60"/>
      </w:pPr>
      <w:r>
        <w:t xml:space="preserve">実施順序は広告枠先行でよいか</w:t>
      </w:r>
    </w:p>
    <w:p>
      <w:pPr>
        <w:pStyle w:val="ListParagraph"/>
        <w:numPr>
          <w:ilvl w:val="0"/>
          <w:numId w:val="5"/>
        </w:numPr>
        <w:spacing w:after="60"/>
      </w:pPr>
      <w:r>
        <w:t xml:space="preserve">XサーバーのCron設定を制作側で行ってよいか（サーバーパネルへのログインが必要）</w:t>
      </w:r>
    </w:p>
    <w:p>
      <w:pPr>
        <w:pStyle w:val="ListParagraph"/>
        <w:numPr>
          <w:ilvl w:val="0"/>
          <w:numId w:val="5"/>
        </w:numPr>
        <w:spacing w:after="60"/>
      </w:pPr>
      <w:r>
        <w:t xml:space="preserve">送信内容（個人情報を含む）をMicrosoft・調速へ送ることについて、社内規定上の問題がないか</w:t>
      </w:r>
    </w:p>
    <w:p>
      <w:pPr>
        <w:pStyle w:val="Heading1"/>
        <w:pageBreakBefore/>
      </w:pPr>
      <w:r>
        <w:rPr>
          <w:color w:val="1F6FE0"/>
        </w:rPr>
        <w:t xml:space="preserve">付録　</w:t>
      </w:r>
      <w:r>
        <w:t xml:space="preserve">送信データの共通形式と項目一覧</w:t>
      </w:r>
    </w:p>
    <w:p>
      <w:r>
        <w:t xml:space="preserve">共通基盤が各送り先へ渡すデータの形と、代表として「自社物件の売却依頼」フォームの項目一覧です。Excelの列設計と調速側のテーブル設計の基礎資料になります。</w:t>
      </w:r>
    </w:p>
    <w:p>
      <w:pPr>
        <w:pStyle w:val="Heading2"/>
      </w:pPr>
      <w:r>
        <w:t xml:space="preserve">共通形式（JSON）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DE8" w:sz="4"/>
              <w:left w:val="single" w:color="1F6FE0" w:sz="18"/>
              <w:bottom w:val="single" w:color="D5DDE8" w:sz="4"/>
              <w:right w:val="single" w:color="D5DDE8" w:sz="4"/>
            </w:tcBorders>
            <w:shd w:fill="F3F7FC" w:color="auto" w:val="clear"/>
            <w:tcMar>
              <w:top w:type="dxa" w:w="140"/>
              <w:left w:type="dxa" w:w="220"/>
              <w:bottom w:type="dxa" w:w="140"/>
              <w:right w:type="dxa" w:w="220"/>
            </w:tcMar>
          </w:tcPr>
          <w:p>
            <w:pPr>
              <w:spacing w:after="0" w:before="0" w:line="260"/>
            </w:pPr>
            <w:r>
              <w:rPr>
                <w:rFonts w:ascii="Consolas" w:cs="Consolas" w:eastAsia="ＭＳ ゴシック" w:hAnsi="Consolas"/>
                <w:color w:val="233244"/>
                <w:sz w:val="17"/>
                <w:szCs w:val="17"/>
              </w:rPr>
              <w:t xml:space="preserve">{</w:t>
            </w:r>
          </w:p>
          <w:p>
            <w:pPr>
              <w:spacing w:after="0" w:before="0" w:line="260"/>
            </w:pPr>
            <w:r>
              <w:rPr>
                <w:rFonts w:ascii="Consolas" w:cs="Consolas" w:eastAsia="ＭＳ ゴシック" w:hAnsi="Consolas"/>
                <w:color w:val="233244"/>
                <w:sz w:val="17"/>
                <w:szCs w:val="17"/>
              </w:rPr>
              <w:t xml:space="preserve">  "submission_id": "TSG-20260921-0001",</w:t>
            </w:r>
          </w:p>
          <w:p>
            <w:pPr>
              <w:spacing w:after="0" w:before="0" w:line="260"/>
            </w:pPr>
            <w:r>
              <w:rPr>
                <w:rFonts w:ascii="Consolas" w:cs="Consolas" w:eastAsia="ＭＳ ゴシック" w:hAnsi="Consolas"/>
                <w:color w:val="233244"/>
                <w:sz w:val="17"/>
                <w:szCs w:val="17"/>
              </w:rPr>
              <w:t xml:space="preserve">  "submitted_at": "2026-09-21T14:05:00+09:00",</w:t>
            </w:r>
          </w:p>
          <w:p>
            <w:pPr>
              <w:spacing w:after="0" w:before="0" w:line="260"/>
            </w:pPr>
            <w:r>
              <w:rPr>
                <w:rFonts w:ascii="Consolas" w:cs="Consolas" w:eastAsia="ＭＳ ゴシック" w:hAnsi="Consolas"/>
                <w:color w:val="233244"/>
                <w:sz w:val="17"/>
                <w:szCs w:val="17"/>
              </w:rPr>
              <w:t xml:space="preserve">  "form": { "id": 123, "title": "自社物件の売却依頼" },</w:t>
            </w:r>
          </w:p>
          <w:p>
            <w:pPr>
              <w:spacing w:after="0" w:before="0" w:line="260"/>
            </w:pPr>
            <w:r>
              <w:rPr>
                <w:rFonts w:ascii="Consolas" w:cs="Consolas" w:eastAsia="ＭＳ ゴシック" w:hAnsi="Consolas"/>
                <w:color w:val="233244"/>
                <w:sz w:val="17"/>
                <w:szCs w:val="17"/>
              </w:rPr>
              <w:t xml:space="preserve">  "member": { "user_id": 5, "company": "株式会社○○", "email": "info@example.com" },</w:t>
            </w:r>
          </w:p>
          <w:p>
            <w:pPr>
              <w:spacing w:after="0" w:before="0" w:line="260"/>
            </w:pPr>
            <w:r>
              <w:rPr>
                <w:rFonts w:ascii="Consolas" w:cs="Consolas" w:eastAsia="ＭＳ ゴシック" w:hAnsi="Consolas"/>
                <w:color w:val="233244"/>
                <w:sz w:val="17"/>
                <w:szCs w:val="17"/>
              </w:rPr>
              <w:t xml:space="preserve">  "fields": {</w:t>
            </w:r>
          </w:p>
          <w:p>
            <w:pPr>
              <w:spacing w:after="0" w:before="0" w:line="260"/>
            </w:pPr>
            <w:r>
              <w:rPr>
                <w:rFonts w:ascii="Consolas" w:cs="Consolas" w:eastAsia="ＭＳ ゴシック" w:hAnsi="Consolas"/>
                <w:color w:val="233244"/>
                <w:sz w:val="17"/>
                <w:szCs w:val="17"/>
              </w:rPr>
              <w:t xml:space="preserve">    "company": "株式会社○○",</w:t>
            </w:r>
          </w:p>
          <w:p>
            <w:pPr>
              <w:spacing w:after="0" w:before="0" w:line="260"/>
            </w:pPr>
            <w:r>
              <w:rPr>
                <w:rFonts w:ascii="Consolas" w:cs="Consolas" w:eastAsia="ＭＳ ゴシック" w:hAnsi="Consolas"/>
                <w:color w:val="233244"/>
                <w:sz w:val="17"/>
                <w:szCs w:val="17"/>
              </w:rPr>
              <w:t xml:space="preserve">    "staff-name": "山田 太郎",</w:t>
            </w:r>
          </w:p>
          <w:p>
            <w:pPr>
              <w:spacing w:after="0" w:before="0" w:line="260"/>
            </w:pPr>
            <w:r>
              <w:rPr>
                <w:rFonts w:ascii="Consolas" w:cs="Consolas" w:eastAsia="ＭＳ ゴシック" w:hAnsi="Consolas"/>
                <w:color w:val="233244"/>
                <w:sz w:val="17"/>
                <w:szCs w:val="17"/>
              </w:rPr>
              <w:t xml:space="preserve">    "sell-price-min": "3000",</w:t>
            </w:r>
          </w:p>
          <w:p>
            <w:pPr>
              <w:spacing w:after="0" w:before="0" w:line="260"/>
            </w:pPr>
            <w:r>
              <w:rPr>
                <w:rFonts w:ascii="Consolas" w:cs="Consolas" w:eastAsia="ＭＳ ゴシック" w:hAnsi="Consolas"/>
                <w:color w:val="233244"/>
                <w:sz w:val="17"/>
                <w:szCs w:val="17"/>
              </w:rPr>
              <w:t xml:space="preserve">    "priority": ["価格", "スピード"]</w:t>
            </w:r>
          </w:p>
          <w:p>
            <w:pPr>
              <w:spacing w:after="0" w:before="0" w:line="260"/>
            </w:pPr>
            <w:r>
              <w:rPr>
                <w:rFonts w:ascii="Consolas" w:cs="Consolas" w:eastAsia="ＭＳ ゴシック" w:hAnsi="Consolas"/>
                <w:color w:val="233244"/>
                <w:sz w:val="17"/>
                <w:szCs w:val="17"/>
              </w:rPr>
              <w:t xml:space="preserve">  },</w:t>
            </w:r>
          </w:p>
          <w:p>
            <w:pPr>
              <w:spacing w:after="0" w:before="0" w:line="260"/>
            </w:pPr>
            <w:r>
              <w:rPr>
                <w:rFonts w:ascii="Consolas" w:cs="Consolas" w:eastAsia="ＭＳ ゴシック" w:hAnsi="Consolas"/>
                <w:color w:val="233244"/>
                <w:sz w:val="17"/>
                <w:szCs w:val="17"/>
              </w:rPr>
              <w:t xml:space="preserve">  "files": [ { "field": "documents", "name": "登記簿.pdf", "size": 182340 } ]</w:t>
            </w:r>
          </w:p>
          <w:p>
            <w:pPr>
              <w:spacing w:after="0" w:before="0" w:line="260"/>
            </w:pPr>
            <w:r>
              <w:rPr>
                <w:rFonts w:ascii="Consolas" w:cs="Consolas" w:eastAsia="ＭＳ ゴシック" w:hAnsi="Consolas"/>
                <w:color w:val="233244"/>
                <w:sz w:val="17"/>
                <w:szCs w:val="17"/>
              </w:rPr>
              <w:t xml:space="preserve">}</w:t>
            </w:r>
          </w:p>
        </w:tc>
      </w:tr>
    </w:tbl>
    <w:p>
      <w:pPr>
        <w:spacing w:after="120" w:before="0"/>
      </w:pPr>
    </w:p>
    <w:p>
      <w:r>
        <w:t xml:space="preserve">fields にはフォームの全項目が入ります（上は一部の例）。複数選択は配列、未回答は空文字です。</w:t>
      </w:r>
    </w:p>
    <w:p>
      <w:pPr>
        <w:pStyle w:val="Heading2"/>
      </w:pPr>
      <w:r>
        <w:t xml:space="preserve">自社物件の売却依頼フォームの項目一覧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0"/>
        <w:gridCol w:w="2095"/>
        <w:gridCol w:w="1676"/>
        <w:gridCol w:w="879"/>
        <w:gridCol w:w="544"/>
        <w:gridCol w:w="3104"/>
      </w:tblGrid>
      <w:tr>
        <w:trPr>
          <w:cantSplit/>
          <w:tblHeader/>
        </w:trPr>
        <w:tc>
          <w:tcPr>
            <w:tcW w:type="dxa" w:w="1340"/>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6"/>
                <w:szCs w:val="16"/>
              </w:rPr>
              <w:t xml:space="preserve">セクション</w:t>
            </w:r>
          </w:p>
        </w:tc>
        <w:tc>
          <w:tcPr>
            <w:tcW w:type="dxa" w:w="2095"/>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6"/>
                <w:szCs w:val="16"/>
              </w:rPr>
              <w:t xml:space="preserve">項目</w:t>
            </w:r>
          </w:p>
        </w:tc>
        <w:tc>
          <w:tcPr>
            <w:tcW w:type="dxa" w:w="1676"/>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6"/>
                <w:szCs w:val="16"/>
              </w:rPr>
              <w:t xml:space="preserve">フィールド名</w:t>
            </w:r>
          </w:p>
        </w:tc>
        <w:tc>
          <w:tcPr>
            <w:tcW w:type="dxa" w:w="879"/>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6"/>
                <w:szCs w:val="16"/>
              </w:rPr>
              <w:t xml:space="preserve">型</w:t>
            </w:r>
          </w:p>
        </w:tc>
        <w:tc>
          <w:tcPr>
            <w:tcW w:type="dxa" w:w="544"/>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6"/>
                <w:szCs w:val="16"/>
              </w:rPr>
              <w:t xml:space="preserve">必須</w:t>
            </w:r>
          </w:p>
        </w:tc>
        <w:tc>
          <w:tcPr>
            <w:tcW w:type="dxa" w:w="3104"/>
            <w:tcBorders>
              <w:top w:val="single" w:color="D5DDE8" w:sz="4"/>
              <w:left w:val="single" w:color="D5DDE8" w:sz="4"/>
              <w:bottom w:val="single" w:color="D5DDE8" w:sz="4"/>
              <w:right w:val="single" w:color="D5DDE8" w:sz="4"/>
            </w:tcBorders>
            <w:shd w:fill="11295A" w:color="auto" w:val="clear"/>
            <w:tcMar>
              <w:top w:type="dxa" w:w="70"/>
              <w:left w:type="dxa" w:w="110"/>
              <w:bottom w:type="dxa" w:w="70"/>
              <w:right w:type="dxa" w:w="110"/>
            </w:tcMar>
            <w:vAlign w:val="center"/>
          </w:tcPr>
          <w:p>
            <w:pPr>
              <w:spacing w:after="0" w:before="0" w:line="300"/>
            </w:pPr>
            <w:r>
              <w:rPr>
                <w:b/>
                <w:bCs/>
                <w:color w:val="FFFFFF"/>
                <w:sz w:val="16"/>
                <w:szCs w:val="16"/>
              </w:rPr>
              <w:t xml:space="preserve">選択肢</w:t>
            </w:r>
          </w:p>
        </w:tc>
      </w:tr>
      <w:tr>
        <w:trPr>
          <w:cantSplit/>
        </w:trPr>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依頼者情報</w:t>
            </w:r>
          </w:p>
        </w:tc>
        <w:tc>
          <w:tcPr>
            <w:tcW w:type="dxa" w:w="209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会社名</w:t>
            </w:r>
          </w:p>
        </w:tc>
        <w:tc>
          <w:tcPr>
            <w:tcW w:type="dxa" w:w="16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company</w:t>
            </w:r>
          </w:p>
        </w:tc>
        <w:tc>
          <w:tcPr>
            <w:tcW w:type="dxa" w:w="87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文字</w:t>
            </w:r>
          </w:p>
        </w:tc>
        <w:tc>
          <w:tcPr>
            <w:tcW w:type="dxa" w:w="54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必須</w:t>
            </w:r>
          </w:p>
        </w:tc>
        <w:tc>
          <w:tcPr>
            <w:tcW w:type="dxa" w:w="31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r>
      <w:tr>
        <w:trPr>
          <w:cantSplit/>
        </w:trPr>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依頼者情報</w:t>
            </w:r>
          </w:p>
        </w:tc>
        <w:tc>
          <w:tcPr>
            <w:tcW w:type="dxa" w:w="209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担当者名</w:t>
            </w:r>
          </w:p>
        </w:tc>
        <w:tc>
          <w:tcPr>
            <w:tcW w:type="dxa" w:w="167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staff-name</w:t>
            </w:r>
          </w:p>
        </w:tc>
        <w:tc>
          <w:tcPr>
            <w:tcW w:type="dxa" w:w="87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文字</w:t>
            </w:r>
          </w:p>
        </w:tc>
        <w:tc>
          <w:tcPr>
            <w:tcW w:type="dxa" w:w="54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必須</w:t>
            </w:r>
          </w:p>
        </w:tc>
        <w:tc>
          <w:tcPr>
            <w:tcW w:type="dxa" w:w="31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r>
      <w:tr>
        <w:trPr>
          <w:cantSplit/>
        </w:trPr>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依頼者情報</w:t>
            </w:r>
          </w:p>
        </w:tc>
        <w:tc>
          <w:tcPr>
            <w:tcW w:type="dxa" w:w="209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メールアドレス</w:t>
            </w:r>
          </w:p>
        </w:tc>
        <w:tc>
          <w:tcPr>
            <w:tcW w:type="dxa" w:w="16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email</w:t>
            </w:r>
          </w:p>
        </w:tc>
        <w:tc>
          <w:tcPr>
            <w:tcW w:type="dxa" w:w="87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メール</w:t>
            </w:r>
          </w:p>
        </w:tc>
        <w:tc>
          <w:tcPr>
            <w:tcW w:type="dxa" w:w="54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必須</w:t>
            </w:r>
          </w:p>
        </w:tc>
        <w:tc>
          <w:tcPr>
            <w:tcW w:type="dxa" w:w="31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r>
      <w:tr>
        <w:trPr>
          <w:cantSplit/>
        </w:trPr>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依頼者情報</w:t>
            </w:r>
          </w:p>
        </w:tc>
        <w:tc>
          <w:tcPr>
            <w:tcW w:type="dxa" w:w="209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電話番号</w:t>
            </w:r>
          </w:p>
        </w:tc>
        <w:tc>
          <w:tcPr>
            <w:tcW w:type="dxa" w:w="167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tel</w:t>
            </w:r>
          </w:p>
        </w:tc>
        <w:tc>
          <w:tcPr>
            <w:tcW w:type="dxa" w:w="87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電話</w:t>
            </w:r>
          </w:p>
        </w:tc>
        <w:tc>
          <w:tcPr>
            <w:tcW w:type="dxa" w:w="54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r>
      <w:tr>
        <w:trPr>
          <w:cantSplit/>
        </w:trPr>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住所</w:t>
            </w:r>
          </w:p>
        </w:tc>
        <w:tc>
          <w:tcPr>
            <w:tcW w:type="dxa" w:w="16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property-address</w:t>
            </w:r>
          </w:p>
        </w:tc>
        <w:tc>
          <w:tcPr>
            <w:tcW w:type="dxa" w:w="87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文字</w:t>
            </w:r>
          </w:p>
        </w:tc>
        <w:tc>
          <w:tcPr>
            <w:tcW w:type="dxa" w:w="54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r>
      <w:tr>
        <w:trPr>
          <w:cantSplit/>
        </w:trPr>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種別</w:t>
            </w:r>
          </w:p>
        </w:tc>
        <w:tc>
          <w:tcPr>
            <w:tcW w:type="dxa" w:w="167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property-type</w:t>
            </w:r>
          </w:p>
        </w:tc>
        <w:tc>
          <w:tcPr>
            <w:tcW w:type="dxa" w:w="87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単一選択</w:t>
            </w:r>
          </w:p>
        </w:tc>
        <w:tc>
          <w:tcPr>
            <w:tcW w:type="dxa" w:w="54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土地 / 戸建て / アパート / 区分 / 事務所・ビル / 倉庫・工場 / その他</w:t>
            </w:r>
          </w:p>
        </w:tc>
      </w:tr>
      <w:tr>
        <w:trPr>
          <w:cantSplit/>
        </w:trPr>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現況</w:t>
            </w:r>
          </w:p>
        </w:tc>
        <w:tc>
          <w:tcPr>
            <w:tcW w:type="dxa" w:w="16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property-status</w:t>
            </w:r>
          </w:p>
        </w:tc>
        <w:tc>
          <w:tcPr>
            <w:tcW w:type="dxa" w:w="87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単一選択</w:t>
            </w:r>
          </w:p>
        </w:tc>
        <w:tc>
          <w:tcPr>
            <w:tcW w:type="dxa" w:w="54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空室 / 居住中（所有者） / 賃貸中（入居者あり） / その他</w:t>
            </w:r>
          </w:p>
        </w:tc>
      </w:tr>
      <w:tr>
        <w:trPr>
          <w:cantSplit/>
        </w:trPr>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希望売却価格（下限目安・万円）</w:t>
            </w:r>
          </w:p>
        </w:tc>
        <w:tc>
          <w:tcPr>
            <w:tcW w:type="dxa" w:w="167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sell-price-min</w:t>
            </w:r>
          </w:p>
        </w:tc>
        <w:tc>
          <w:tcPr>
            <w:tcW w:type="dxa" w:w="87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数値</w:t>
            </w:r>
          </w:p>
        </w:tc>
        <w:tc>
          <w:tcPr>
            <w:tcW w:type="dxa" w:w="54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r>
      <w:tr>
        <w:trPr>
          <w:cantSplit/>
        </w:trPr>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①本物件の商流</w:t>
            </w:r>
          </w:p>
        </w:tc>
        <w:tc>
          <w:tcPr>
            <w:tcW w:type="dxa" w:w="16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distribution</w:t>
            </w:r>
          </w:p>
        </w:tc>
        <w:tc>
          <w:tcPr>
            <w:tcW w:type="dxa" w:w="87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単一選択</w:t>
            </w:r>
          </w:p>
        </w:tc>
        <w:tc>
          <w:tcPr>
            <w:tcW w:type="dxa" w:w="54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売主様→つなぐ（直） / 売主様→他社→つなぐ / 売主様→他社→他社→つなぐ / その他</w:t>
            </w:r>
          </w:p>
        </w:tc>
      </w:tr>
      <w:tr>
        <w:trPr>
          <w:cantSplit/>
        </w:trPr>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②売主属性</w:t>
            </w:r>
          </w:p>
        </w:tc>
        <w:tc>
          <w:tcPr>
            <w:tcW w:type="dxa" w:w="167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seller-type</w:t>
            </w:r>
          </w:p>
        </w:tc>
        <w:tc>
          <w:tcPr>
            <w:tcW w:type="dxa" w:w="87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単一選択</w:t>
            </w:r>
          </w:p>
        </w:tc>
        <w:tc>
          <w:tcPr>
            <w:tcW w:type="dxa" w:w="54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一般個人 / 投資家 / 法人 / 不動産会社</w:t>
            </w:r>
          </w:p>
        </w:tc>
      </w:tr>
      <w:tr>
        <w:trPr>
          <w:cantSplit/>
        </w:trPr>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③売主の背景（複数選択可）</w:t>
            </w:r>
          </w:p>
        </w:tc>
        <w:tc>
          <w:tcPr>
            <w:tcW w:type="dxa" w:w="16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seller-bg</w:t>
            </w:r>
          </w:p>
        </w:tc>
        <w:tc>
          <w:tcPr>
            <w:tcW w:type="dxa" w:w="87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複数選択</w:t>
            </w:r>
          </w:p>
        </w:tc>
        <w:tc>
          <w:tcPr>
            <w:tcW w:type="dxa" w:w="54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相続関連 / 資金整理 / 売却戦略の見直し / 現金化 / 在庫ポジション調整</w:t>
            </w:r>
          </w:p>
        </w:tc>
      </w:tr>
      <w:tr>
        <w:trPr>
          <w:cantSplit/>
        </w:trPr>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③その他</w:t>
            </w:r>
          </w:p>
        </w:tc>
        <w:tc>
          <w:tcPr>
            <w:tcW w:type="dxa" w:w="167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seller-bg-other</w:t>
            </w:r>
          </w:p>
        </w:tc>
        <w:tc>
          <w:tcPr>
            <w:tcW w:type="dxa" w:w="87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文字</w:t>
            </w:r>
          </w:p>
        </w:tc>
        <w:tc>
          <w:tcPr>
            <w:tcW w:type="dxa" w:w="54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r>
      <w:tr>
        <w:trPr>
          <w:cantSplit/>
        </w:trPr>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名義・共有状況</w:t>
            </w:r>
          </w:p>
        </w:tc>
        <w:tc>
          <w:tcPr>
            <w:tcW w:type="dxa" w:w="16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ownership</w:t>
            </w:r>
          </w:p>
        </w:tc>
        <w:tc>
          <w:tcPr>
            <w:tcW w:type="dxa" w:w="87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単一選択</w:t>
            </w:r>
          </w:p>
        </w:tc>
        <w:tc>
          <w:tcPr>
            <w:tcW w:type="dxa" w:w="54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単独名義 / 共有名義（複数名義） / 名義変更予定あり（未了）</w:t>
            </w:r>
          </w:p>
        </w:tc>
      </w:tr>
      <w:tr>
        <w:trPr>
          <w:cantSplit/>
        </w:trPr>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④売主様が重視している点（最大3つ）</w:t>
            </w:r>
          </w:p>
        </w:tc>
        <w:tc>
          <w:tcPr>
            <w:tcW w:type="dxa" w:w="167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priority</w:t>
            </w:r>
          </w:p>
        </w:tc>
        <w:tc>
          <w:tcPr>
            <w:tcW w:type="dxa" w:w="87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複数選択</w:t>
            </w:r>
          </w:p>
        </w:tc>
        <w:tc>
          <w:tcPr>
            <w:tcW w:type="dxa" w:w="54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価格 / スピード / 情報の秘匿性 / 近隣配慮 / 安全な取引 / 相手方の信頼性 / 家族との合意形成</w:t>
            </w:r>
          </w:p>
        </w:tc>
      </w:tr>
      <w:tr>
        <w:trPr>
          <w:cantSplit/>
        </w:trPr>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⑤売却停止の可能性</w:t>
            </w:r>
          </w:p>
        </w:tc>
        <w:tc>
          <w:tcPr>
            <w:tcW w:type="dxa" w:w="16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stop-possibility</w:t>
            </w:r>
          </w:p>
        </w:tc>
        <w:tc>
          <w:tcPr>
            <w:tcW w:type="dxa" w:w="87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単一選択</w:t>
            </w:r>
          </w:p>
        </w:tc>
        <w:tc>
          <w:tcPr>
            <w:tcW w:type="dxa" w:w="54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なし / あり</w:t>
            </w:r>
          </w:p>
        </w:tc>
      </w:tr>
      <w:tr>
        <w:trPr>
          <w:cantSplit/>
        </w:trPr>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⑤理由</w:t>
            </w:r>
          </w:p>
        </w:tc>
        <w:tc>
          <w:tcPr>
            <w:tcW w:type="dxa" w:w="167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stop-reason</w:t>
            </w:r>
          </w:p>
        </w:tc>
        <w:tc>
          <w:tcPr>
            <w:tcW w:type="dxa" w:w="87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文字</w:t>
            </w:r>
          </w:p>
        </w:tc>
        <w:tc>
          <w:tcPr>
            <w:tcW w:type="dxa" w:w="54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r>
      <w:tr>
        <w:trPr>
          <w:cantSplit/>
        </w:trPr>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⑥売却後の用途希望</w:t>
            </w:r>
          </w:p>
        </w:tc>
        <w:tc>
          <w:tcPr>
            <w:tcW w:type="dxa" w:w="16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after-use</w:t>
            </w:r>
          </w:p>
        </w:tc>
        <w:tc>
          <w:tcPr>
            <w:tcW w:type="dxa" w:w="87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単一選択</w:t>
            </w:r>
          </w:p>
        </w:tc>
        <w:tc>
          <w:tcPr>
            <w:tcW w:type="dxa" w:w="54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特に制限なし / 近隣配慮 / 既存建物活用希望 / 住宅用途を希望</w:t>
            </w:r>
          </w:p>
        </w:tc>
      </w:tr>
      <w:tr>
        <w:trPr>
          <w:cantSplit/>
        </w:trPr>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⑦意思決定状況</w:t>
            </w:r>
          </w:p>
        </w:tc>
        <w:tc>
          <w:tcPr>
            <w:tcW w:type="dxa" w:w="167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decision</w:t>
            </w:r>
          </w:p>
        </w:tc>
        <w:tc>
          <w:tcPr>
            <w:tcW w:type="dxa" w:w="87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単一選択</w:t>
            </w:r>
          </w:p>
        </w:tc>
        <w:tc>
          <w:tcPr>
            <w:tcW w:type="dxa" w:w="54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本人単独で意思決定が可能 / 家族と事前相談予定 / 家族と協議中 / 相続人複数名（合意形成前） / 相続人複数名（概ね合意済み） / 遺産分割協議書作成「前」 / 遺産分割協議書作成「済」</w:t>
            </w:r>
          </w:p>
        </w:tc>
      </w:tr>
      <w:tr>
        <w:trPr>
          <w:cantSplit/>
        </w:trPr>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⑦合意形成にかかる想定期間</w:t>
            </w:r>
          </w:p>
        </w:tc>
        <w:tc>
          <w:tcPr>
            <w:tcW w:type="dxa" w:w="16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agreement-period</w:t>
            </w:r>
          </w:p>
        </w:tc>
        <w:tc>
          <w:tcPr>
            <w:tcW w:type="dxa" w:w="87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文字</w:t>
            </w:r>
          </w:p>
        </w:tc>
        <w:tc>
          <w:tcPr>
            <w:tcW w:type="dxa" w:w="54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r>
      <w:tr>
        <w:trPr>
          <w:cantSplit/>
        </w:trPr>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法人の場合：決裁</w:t>
            </w:r>
          </w:p>
        </w:tc>
        <w:tc>
          <w:tcPr>
            <w:tcW w:type="dxa" w:w="167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corp-approval</w:t>
            </w:r>
          </w:p>
        </w:tc>
        <w:tc>
          <w:tcPr>
            <w:tcW w:type="dxa" w:w="87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単一選択</w:t>
            </w:r>
          </w:p>
        </w:tc>
        <w:tc>
          <w:tcPr>
            <w:tcW w:type="dxa" w:w="54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代表者決裁のみで可能 / 社内稟議が必要 / 役員決議が必要 / グループ会社の承認が必要</w:t>
            </w:r>
          </w:p>
        </w:tc>
      </w:tr>
      <w:tr>
        <w:trPr>
          <w:cantSplit/>
        </w:trPr>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法人の場合：決裁権者・想定日数</w:t>
            </w:r>
          </w:p>
        </w:tc>
        <w:tc>
          <w:tcPr>
            <w:tcW w:type="dxa" w:w="16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corp-approval-detail</w:t>
            </w:r>
          </w:p>
        </w:tc>
        <w:tc>
          <w:tcPr>
            <w:tcW w:type="dxa" w:w="87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文字</w:t>
            </w:r>
          </w:p>
        </w:tc>
        <w:tc>
          <w:tcPr>
            <w:tcW w:type="dxa" w:w="54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r>
      <w:tr>
        <w:trPr>
          <w:cantSplit/>
        </w:trPr>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⑧売却希望時期</w:t>
            </w:r>
          </w:p>
        </w:tc>
        <w:tc>
          <w:tcPr>
            <w:tcW w:type="dxa" w:w="167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timing</w:t>
            </w:r>
          </w:p>
        </w:tc>
        <w:tc>
          <w:tcPr>
            <w:tcW w:type="dxa" w:w="87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単一選択</w:t>
            </w:r>
          </w:p>
        </w:tc>
        <w:tc>
          <w:tcPr>
            <w:tcW w:type="dxa" w:w="54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1カ月以内 / 3カ月以内 / 6カ月以内 / 12カ月以内</w:t>
            </w:r>
          </w:p>
        </w:tc>
      </w:tr>
      <w:tr>
        <w:trPr>
          <w:cantSplit/>
        </w:trPr>
        <w:tc>
          <w:tcPr>
            <w:tcW w:type="dxa" w:w="1340"/>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物件について</w:t>
            </w:r>
          </w:p>
        </w:tc>
        <w:tc>
          <w:tcPr>
            <w:tcW w:type="dxa" w:w="2095"/>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⑧その他ご条件</w:t>
            </w:r>
          </w:p>
        </w:tc>
        <w:tc>
          <w:tcPr>
            <w:tcW w:type="dxa" w:w="1676"/>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timing-other</w:t>
            </w:r>
          </w:p>
        </w:tc>
        <w:tc>
          <w:tcPr>
            <w:tcW w:type="dxa" w:w="879"/>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r>
              <w:rPr>
                <w:sz w:val="16"/>
                <w:szCs w:val="16"/>
              </w:rPr>
              <w:t xml:space="preserve">文字</w:t>
            </w:r>
          </w:p>
        </w:tc>
        <w:tc>
          <w:tcPr>
            <w:tcW w:type="dxa" w:w="54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FFFFF" w:color="auto" w:val="clear"/>
            <w:tcMar>
              <w:top w:type="dxa" w:w="70"/>
              <w:left w:type="dxa" w:w="110"/>
              <w:bottom w:type="dxa" w:w="70"/>
              <w:right w:type="dxa" w:w="110"/>
            </w:tcMar>
            <w:vAlign w:val="center"/>
          </w:tcPr>
          <w:p>
            <w:pPr>
              <w:spacing w:after="0" w:before="0" w:line="300"/>
            </w:pPr>
          </w:p>
        </w:tc>
      </w:tr>
      <w:tr>
        <w:trPr>
          <w:cantSplit/>
        </w:trPr>
        <w:tc>
          <w:tcPr>
            <w:tcW w:type="dxa" w:w="1340"/>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資料の添付</w:t>
            </w:r>
          </w:p>
        </w:tc>
        <w:tc>
          <w:tcPr>
            <w:tcW w:type="dxa" w:w="2095"/>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添付ファイル（複数可）</w:t>
            </w:r>
          </w:p>
        </w:tc>
        <w:tc>
          <w:tcPr>
            <w:tcW w:type="dxa" w:w="1676"/>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（ファイル項目）</w:t>
            </w:r>
          </w:p>
        </w:tc>
        <w:tc>
          <w:tcPr>
            <w:tcW w:type="dxa" w:w="879"/>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r>
              <w:rPr>
                <w:sz w:val="16"/>
                <w:szCs w:val="16"/>
              </w:rPr>
              <w:t xml:space="preserve">ファイル</w:t>
            </w:r>
          </w:p>
        </w:tc>
        <w:tc>
          <w:tcPr>
            <w:tcW w:type="dxa" w:w="54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c>
          <w:tcPr>
            <w:tcW w:type="dxa" w:w="3104"/>
            <w:tcBorders>
              <w:top w:val="single" w:color="D5DDE8" w:sz="4"/>
              <w:left w:val="single" w:color="D5DDE8" w:sz="4"/>
              <w:bottom w:val="single" w:color="D5DDE8" w:sz="4"/>
              <w:right w:val="single" w:color="D5DDE8" w:sz="4"/>
            </w:tcBorders>
            <w:shd w:fill="F3F7FC" w:color="auto" w:val="clear"/>
            <w:tcMar>
              <w:top w:type="dxa" w:w="70"/>
              <w:left w:type="dxa" w:w="110"/>
              <w:bottom w:type="dxa" w:w="70"/>
              <w:right w:type="dxa" w:w="110"/>
            </w:tcMar>
            <w:vAlign w:val="center"/>
          </w:tcPr>
          <w:p>
            <w:pPr>
              <w:spacing w:after="0" w:before="0" w:line="300"/>
            </w:pPr>
          </w:p>
        </w:tc>
      </w:tr>
    </w:tbl>
    <w:p>
      <w:pPr>
        <w:spacing w:after="160" w:before="0"/>
      </w:pPr>
    </w:p>
    <w:p>
      <w:r>
        <w:t xml:space="preserve">他の5フォームは、実装時に同じ形式で項目一覧を作成して列設計に用います。</w:t>
      </w:r>
    </w:p>
    <w:sectPr>
      <w:headerReference w:type="default" r:id="rId6"/>
      <w:headerReference w:type="first" r:id="rId7"/>
      <w:footerReference w:type="default" r:id="rId8"/>
      <w:footerReference w:type="first" r:id="rId9"/>
      <w:pgSz w:w="11906" w:h="16838" w:orient="portrait"/>
      <w:pgMar w:top="1300" w:right="1134" w:bottom="1200" w:left="1134" w:header="62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B7E"/>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E8" w:sz="4" w:space="4"/>
      </w:pBdr>
      <w:jc w:val="right"/>
    </w:pPr>
    <w:r>
      <w:rPr>
        <w:color w:val="5D6B7E"/>
        <w:sz w:val="16"/>
        <w:szCs w:val="16"/>
      </w:rPr>
      <w:t xml:space="preserve">つなぐ依頼ページ 拡張設計書（広告枠・外部連携）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rPr>
        <w:color w:val="1F6FE0"/>
      </w:rPr>
    </w:lvl>
  </w:abstractNum>
  <w:abstractNum w:abstractNumId="3" w15:restartNumberingAfterBreak="0">
    <w:multiLevelType w:val="hybridMultilevel"/>
    <w:lvl w:ilvl="0" w:tentative="1">
      <w:start w:val="1"/>
      <w:numFmt w:val="decimal"/>
      <w:lvlText w:val="%1."/>
      <w:lvlJc w:val="left"/>
      <w:pPr>
        <w:ind w:left="460" w:hanging="320"/>
      </w:pPr>
      <w:rPr>
        <w:b/>
        <w:bCs/>
        <w:color w:val="1F6FE0"/>
      </w:rPr>
    </w:lvl>
  </w:abstractNum>
  <w:abstractNum w:abstractNumId="4" w15:restartNumberingAfterBreak="0">
    <w:multiLevelType w:val="hybridMultilevel"/>
    <w:lvl w:ilvl="0" w:tentative="1">
      <w:start w:val="1"/>
      <w:numFmt w:val="bullet"/>
      <w:lvlText w:val="☐"/>
      <w:lvlJc w:val="left"/>
      <w:pPr>
        <w:ind w:left="500" w:hanging="360"/>
      </w:pPr>
      <w:rPr>
        <w:rFonts w:ascii="MS Gothic" w:eastAsia="ＭＳ ゴシック" w:hAnsi="MS Gothic"/>
        <w:color w:val="11295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游ゴシック" w:hAnsi="Yu Gothic"/>
        <w:color w:val="233244"/>
        <w:sz w:val="21"/>
        <w:szCs w:val="21"/>
      </w:rPr>
    </w:rPrDefault>
    <w:pPrDefault>
      <w:pPr>
        <w:spacing w:after="120" w:line="3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6FE0" w:sz="12" w:space="8"/>
      </w:pBdr>
      <w:spacing w:after="280" w:before="0" w:line="360"/>
      <w:outlineLvl w:val="0"/>
    </w:pPr>
    <w:rPr>
      <w:rFonts w:ascii="Yu Gothic" w:cs="Yu Gothic" w:eastAsia="游ゴシック" w:hAnsi="Yu Gothic"/>
      <w:b/>
      <w:bCs/>
      <w:color w:val="11295A"/>
      <w:sz w:val="32"/>
      <w:szCs w:val="32"/>
    </w:rPr>
  </w:style>
  <w:style w:type="paragraph" w:styleId="Heading2">
    <w:name w:val="Heading 2"/>
    <w:basedOn w:val="Normal"/>
    <w:next w:val="Normal"/>
    <w:qFormat/>
    <w:pPr>
      <w:keepNext/>
      <w:pBdr>
        <w:left w:val="single" w:color="1F6FE0" w:sz="24" w:space="8"/>
      </w:pBdr>
      <w:spacing w:after="140" w:before="320" w:line="320"/>
      <w:ind w:left="140"/>
      <w:outlineLvl w:val="1"/>
    </w:pPr>
    <w:rPr>
      <w:rFonts w:ascii="Yu Gothic" w:cs="Yu Gothic" w:eastAsia="游ゴシック" w:hAnsi="Yu Gothic"/>
      <w:b/>
      <w:bCs/>
      <w:color w:val="11295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54bd34424bd50697c9fc418c2b4363843108ba4a.png"/><Relationship Id="rId12" Type="http://schemas.openxmlformats.org/officeDocument/2006/relationships/image" Target="media/1ed0c0473320014b44e7d342f7777c349166be75.png"/><Relationship Id="rId13" Type="http://schemas.openxmlformats.org/officeDocument/2006/relationships/image" Target="media/c45492741a2bfdbe98fb4e6be01b1dc31102b67f.png"/><Relationship Id="rId14" Type="http://schemas.openxmlformats.org/officeDocument/2006/relationships/image" Target="media/0ebcd271b249eb9c1b32b5b365f7da4257bba59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つなぐ依頼ページ 拡張設計書（広告枠・外部連携）</dc:title>
  <dc:creator>つなぐ依頼ページ 制作担当</dc:creator>
  <dc:description>広告枠の追加、調速・Excel（M365）への自動転記の設計案</dc:description>
  <cp:lastModifiedBy>Un-named</cp:lastModifiedBy>
  <cp:revision>1</cp:revision>
  <dcterms:created xsi:type="dcterms:W3CDTF">2026-10-07T22:50:18.375Z</dcterms:created>
  <dcterms:modified xsi:type="dcterms:W3CDTF">2026-10-07T22:50:18.375Z</dcterms:modified>
</cp:coreProperties>
</file>

<file path=docProps/custom.xml><?xml version="1.0" encoding="utf-8"?>
<Properties xmlns="http://schemas.openxmlformats.org/officeDocument/2006/custom-properties" xmlns:vt="http://schemas.openxmlformats.org/officeDocument/2006/docPropsVTypes"/>
</file>