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drawing>
          <wp:inline distT="0" distB="0" distL="0" distR="0">
            <wp:extent cx="1143000" cy="1143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143000"/>
                    </a:xfrm>
                    <a:prstGeom prst="rect">
                      <a:avLst/>
                    </a:prstGeom>
                  </pic:spPr>
                </pic:pic>
              </a:graphicData>
            </a:graphic>
          </wp:inline>
        </w:drawing>
      </w:r>
    </w:p>
    <w:p>
      <w:pPr>
        <w:spacing w:after="30"/>
        <w:jc w:val="center"/>
      </w:pPr>
      <w:r>
        <w:rPr>
          <w:rFonts w:ascii="Calibri" w:cs="Calibri" w:eastAsia="Calibri" w:hAnsi="Calibri"/>
          <w:b/>
          <w:bCs/>
          <w:color w:val="2E7D32"/>
          <w:spacing w:val="20"/>
          <w:sz w:val="42"/>
          <w:szCs w:val="42"/>
        </w:rPr>
        <w:t xml:space="preserve">TRANSFARMATION</w:t>
      </w:r>
    </w:p>
    <w:p>
      <w:pPr>
        <w:spacing w:after="180"/>
        <w:jc w:val="center"/>
      </w:pPr>
      <w:r>
        <w:rPr>
          <w:rFonts w:ascii="Calibri" w:cs="Calibri" w:eastAsia="Calibri" w:hAnsi="Calibri"/>
          <w:i/>
          <w:iCs/>
          <w:color w:val="7A5200"/>
          <w:sz w:val="15"/>
          <w:szCs w:val="15"/>
        </w:rPr>
        <w:t xml:space="preserve">“ People busy transforming their farming activities ”</w:t>
      </w:r>
    </w:p>
    <w:p>
      <w:pPr>
        <w:spacing w:after="40"/>
        <w:jc w:val="center"/>
      </w:pPr>
      <w:r>
        <w:rPr>
          <w:rFonts w:ascii="Calibri" w:cs="Calibri" w:eastAsia="Calibri" w:hAnsi="Calibri"/>
          <w:b/>
          <w:bCs/>
          <w:color w:val="1B3A1B"/>
          <w:sz w:val="28"/>
          <w:szCs w:val="28"/>
        </w:rPr>
        <w:t xml:space="preserve">VALUE PROPOSITION &amp; PARTNERSHIP PROPOSAL</w:t>
      </w:r>
    </w:p>
    <w:p>
      <w:pPr>
        <w:spacing w:after="20"/>
        <w:jc w:val="center"/>
      </w:pPr>
      <w:r>
        <w:rPr>
          <w:rFonts w:ascii="Calibri" w:cs="Calibri" w:eastAsia="Calibri" w:hAnsi="Calibri"/>
          <w:b/>
          <w:bCs/>
          <w:color w:val="7A5200"/>
          <w:sz w:val="18"/>
          <w:szCs w:val="18"/>
        </w:rPr>
        <w:t xml:space="preserve">Transforming Farming — across Zimbabwe, Africa &amp; Beyond</w:t>
      </w:r>
    </w:p>
    <w:p>
      <w:pPr>
        <w:spacing w:after="220"/>
        <w:jc w:val="center"/>
      </w:pPr>
      <w:r>
        <w:rPr>
          <w:rFonts w:ascii="Calibri" w:cs="Calibri" w:eastAsia="Calibri" w:hAnsi="Calibri"/>
          <w:i/>
          <w:iCs/>
          <w:color w:val="5D7B5D"/>
          <w:sz w:val="14"/>
          <w:szCs w:val="14"/>
        </w:rPr>
        <w:t xml:space="preserve">Wedge vertical: Zimbabwe’s TIMB-regulated tobacco industry · generalising to horticulture and beyond</w:t>
      </w:r>
    </w:p>
    <w:p>
      <w:pPr>
        <w:spacing w:after="220"/>
        <w:jc w:val="center"/>
      </w:pPr>
      <w:r>
        <w:rPr>
          <w:rFonts w:ascii="Calibri" w:cs="Calibri" w:eastAsia="Calibri" w:hAnsi="Calibri"/>
          <w:color w:val="1B3A1B"/>
          <w:sz w:val="19"/>
          <w:szCs w:val="19"/>
        </w:rPr>
        <w:t xml:space="preserve">A single-player-value platform that makes itself indispensable to one communal tobacco farmer from day one — a bankable feasibility plan, TIMB compliance, and fair markets in one app — built to generalise into horticulture, then across Africa.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2E7D32"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16</w:t>
            </w:r>
          </w:p>
          <w:p>
            <w:r>
              <w:rPr>
                <w:rFonts w:ascii="Calibri" w:cs="Calibri" w:eastAsia="Calibri" w:hAnsi="Calibri"/>
                <w:color w:val="5D7B5D"/>
                <w:sz w:val="13"/>
                <w:szCs w:val="13"/>
              </w:rPr>
              <w:t xml:space="preserve">Modules &amp; workspaces mapped to the plan</w:t>
            </w:r>
          </w:p>
        </w:tc>
        <w:tc>
          <w:tcPr>
            <w:tcW w:type="dxa" w:w="2430"/>
            <w:tcBorders>
              <w:top w:val="single" w:color="7A5200"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4</w:t>
            </w:r>
          </w:p>
          <w:p>
            <w:r>
              <w:rPr>
                <w:rFonts w:ascii="Calibri" w:cs="Calibri" w:eastAsia="Calibri" w:hAnsi="Calibri"/>
                <w:color w:val="5D7B5D"/>
                <w:sz w:val="13"/>
                <w:szCs w:val="13"/>
              </w:rPr>
              <w:t xml:space="preserve">Phase roadmap to a full agri-ecosystem</w:t>
            </w:r>
          </w:p>
        </w:tc>
        <w:tc>
          <w:tcPr>
            <w:tcW w:type="dxa" w:w="2430"/>
            <w:tcBorders>
              <w:top w:val="single" w:color="5C6BC0"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26</w:t>
            </w:r>
          </w:p>
          <w:p>
            <w:r>
              <w:rPr>
                <w:rFonts w:ascii="Calibri" w:cs="Calibri" w:eastAsia="Calibri" w:hAnsi="Calibri"/>
                <w:color w:val="5D7B5D"/>
                <w:sz w:val="13"/>
                <w:szCs w:val="13"/>
              </w:rPr>
              <w:t xml:space="preserve">Modules already built and running</w:t>
            </w:r>
          </w:p>
        </w:tc>
        <w:tc>
          <w:tcPr>
            <w:tcW w:type="dxa" w:w="2430"/>
            <w:tcBorders>
              <w:top w:val="single" w:color="00897B"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500</w:t>
            </w:r>
          </w:p>
          <w:p>
            <w:r>
              <w:rPr>
                <w:rFonts w:ascii="Calibri" w:cs="Calibri" w:eastAsia="Calibri" w:hAnsi="Calibri"/>
                <w:color w:val="5D7B5D"/>
                <w:sz w:val="13"/>
                <w:szCs w:val="13"/>
              </w:rPr>
              <w:t xml:space="preserve">Participants in the Cluster-Zero pilot</w:t>
            </w:r>
          </w:p>
        </w:tc>
      </w:tr>
    </w:tbl>
    <w:p>
      <w:pPr>
        <w:pBdr>
          <w:top w:val="single" w:color="D5DDD5" w:sz="4" w:space="8"/>
        </w:pBdr>
        <w:spacing w:after="30" w:before="320"/>
      </w:pPr>
    </w:p>
    <w:tbl>
      <w:tblPr>
        <w:tblW w:type="dxa" w:w="9720"/>
        <w:tblBorders>
          <w:top w:val="none"/>
          <w:left w:val="none"/>
          <w:bottom w:val="none"/>
          <w:right w:val="none"/>
          <w:insideH w:val="single" w:color="auto" w:sz="4"/>
          <w:insideV w:val="single" w:color="auto" w:sz="4"/>
        </w:tblBorders>
      </w:tblPr>
      <w:tblGrid>
        <w:gridCol w:w="3240"/>
        <w:gridCol w:w="3240"/>
        <w:gridCol w:w="3240"/>
      </w:tblGrid>
      <w:tr>
        <w:tc>
          <w:tcPr>
            <w:tcW w:type="dxa" w:w="3240"/>
            <w:tcBorders>
              <w:top w:val="none"/>
              <w:left w:val="none"/>
              <w:bottom w:val="none"/>
              <w:right w:val="none"/>
            </w:tcBorders>
          </w:tcPr>
          <w:p>
            <w:r>
              <w:rPr>
                <w:rFonts w:ascii="Calibri" w:cs="Calibri" w:eastAsia="Calibri" w:hAnsi="Calibri"/>
                <w:color w:val="5D7B5D"/>
                <w:sz w:val="13"/>
                <w:szCs w:val="13"/>
              </w:rPr>
              <w:t xml:space="preserve">Prepared for</w:t>
            </w:r>
          </w:p>
          <w:p>
            <w:r>
              <w:rPr>
                <w:rFonts w:ascii="Calibri" w:cs="Calibri" w:eastAsia="Calibri" w:hAnsi="Calibri"/>
                <w:b/>
                <w:bCs/>
                <w:color w:val="1B3A1B"/>
                <w:sz w:val="15"/>
                <w:szCs w:val="15"/>
              </w:rPr>
              <w:t xml:space="preserve">The Principal &amp; Key Stakeholders</w:t>
            </w:r>
          </w:p>
        </w:tc>
        <w:tc>
          <w:tcPr>
            <w:tcW w:type="dxa" w:w="3240"/>
            <w:tcBorders>
              <w:top w:val="none"/>
              <w:left w:val="none"/>
              <w:bottom w:val="none"/>
              <w:right w:val="none"/>
            </w:tcBorders>
          </w:tcPr>
          <w:p>
            <w:pPr>
              <w:jc w:val="center"/>
            </w:pPr>
            <w:r>
              <w:rPr>
                <w:rFonts w:ascii="Calibri" w:cs="Calibri" w:eastAsia="Calibri" w:hAnsi="Calibri"/>
                <w:color w:val="5D7B5D"/>
                <w:sz w:val="13"/>
                <w:szCs w:val="13"/>
              </w:rPr>
              <w:t xml:space="preserve">Source of truth</w:t>
            </w:r>
          </w:p>
          <w:p>
            <w:pPr>
              <w:jc w:val="center"/>
            </w:pPr>
            <w:r>
              <w:rPr>
                <w:rFonts w:ascii="Calibri" w:cs="Calibri" w:eastAsia="Calibri" w:hAnsi="Calibri"/>
                <w:b/>
                <w:bCs/>
                <w:color w:val="1B3A1B"/>
                <w:sz w:val="15"/>
                <w:szCs w:val="15"/>
              </w:rPr>
              <w:t xml:space="preserve">Transfarmation BRD, 28 Sept 2026</w:t>
            </w:r>
          </w:p>
        </w:tc>
        <w:tc>
          <w:tcPr>
            <w:tcW w:type="dxa" w:w="3240"/>
            <w:tcBorders>
              <w:top w:val="none"/>
              <w:left w:val="none"/>
              <w:bottom w:val="none"/>
              <w:right w:val="none"/>
            </w:tcBorders>
          </w:tcPr>
          <w:p>
            <w:pPr>
              <w:jc w:val="right"/>
            </w:pPr>
            <w:r>
              <w:rPr>
                <w:rFonts w:ascii="Calibri" w:cs="Calibri" w:eastAsia="Calibri" w:hAnsi="Calibri"/>
                <w:color w:val="5D7B5D"/>
                <w:sz w:val="13"/>
                <w:szCs w:val="13"/>
              </w:rPr>
              <w:t xml:space="preserve">Prepared by</w:t>
            </w:r>
          </w:p>
          <w:p>
            <w:pPr>
              <w:jc w:val="right"/>
            </w:pPr>
            <w:r>
              <w:rPr>
                <w:rFonts w:ascii="Calibri" w:cs="Calibri" w:eastAsia="Calibri" w:hAnsi="Calibri"/>
                <w:b/>
                <w:bCs/>
                <w:color w:val="1B3A1B"/>
                <w:sz w:val="15"/>
                <w:szCs w:val="15"/>
              </w:rPr>
              <w:t xml:space="preserve">The Transfarmation Team</w:t>
            </w:r>
          </w:p>
        </w:tc>
      </w:tr>
    </w:tbl>
    <w:p>
      <w:pPr>
        <w:spacing w:before="160"/>
        <w:jc w:val="center"/>
      </w:pPr>
      <w:r>
        <w:rPr>
          <w:rFonts w:ascii="Calibri" w:cs="Calibri" w:eastAsia="Calibri" w:hAnsi="Calibri"/>
          <w:i/>
          <w:iCs/>
          <w:color w:val="5D7B5D"/>
          <w:sz w:val="12"/>
          <w:szCs w:val="12"/>
        </w:rPr>
        <w:t xml:space="preserve">Executive Summary · The Opportunity · Value Propositions · The Workspace Engine · What Each Module Solves · Platform &amp; Roadmap · Go-to-Market &amp; Revenue · The Pilot &amp; The Ask</w:t>
      </w:r>
    </w:p>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EXECUTIVE SUMMARY</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A single-player-value platform for Zimbabwe’s tobacco value chain</w:t>
      </w:r>
    </w:p>
    <w:p>
      <w:pPr>
        <w:spacing w:after="140"/>
      </w:pPr>
      <w:r>
        <w:rPr>
          <w:rFonts w:ascii="Calibri" w:cs="Calibri" w:eastAsia="Calibri" w:hAnsi="Calibri"/>
          <w:color w:val="1B3A1B"/>
          <w:sz w:val="16"/>
          <w:szCs w:val="16"/>
        </w:rPr>
        <w:t xml:space="preserve">Transfarmation is a single-player-value platform: farmers get standalone utility from day one, with no dependency on other users joining first. The pilot vertical is Zimbabwe’s tobacco industry — a sector that sold ~355 million kg for an estimated US$1.18 billion in the 2025 season, grown by ~115,000 registered farmers (85% small-scale), with contract farming covering an estimated 80–95% of output (TIMB, 2025–26). The platform embeds compliance, financing, and operational workflows directly into the farmer’s experience under the Tobacco Industry and Marketing Act [Chapter 18:20], making it indispensable to the smallholder while solving side-marketing, financing, and compliance problems for contractors and regulators. The same model is designed to generalise to perishable horticulture (starting with tomatoes) without starting over.</w:t>
      </w:r>
    </w:p>
    <w:p>
      <w:pPr>
        <w:pStyle w:val="Heading2"/>
        <w:spacing w:after="60" w:before="120"/>
      </w:pPr>
      <w:r>
        <w:rPr>
          <w:rFonts w:ascii="Calibri" w:cs="Calibri" w:eastAsia="Calibri" w:hAnsi="Calibri"/>
          <w:b/>
          <w:bCs/>
          <w:color w:val="1B3A1B"/>
          <w:sz w:val="20"/>
          <w:szCs w:val="20"/>
        </w:rPr>
        <w:t xml:space="preserve">Business Objectives</w:t>
      </w:r>
    </w:p>
    <w:p>
      <w:pPr>
        <w:pStyle w:val="ListParagraph"/>
        <w:numPr>
          <w:ilvl w:val="0"/>
          <w:numId w:val="2"/>
        </w:numPr>
        <w:spacing w:after="40"/>
      </w:pPr>
      <w:r>
        <w:rPr>
          <w:rFonts w:ascii="Calibri" w:cs="Calibri" w:eastAsia="Calibri" w:hAnsi="Calibri"/>
          <w:color w:val="1B3A1B"/>
          <w:sz w:val="16"/>
          <w:szCs w:val="16"/>
        </w:rPr>
        <w:t xml:space="preserve">Make Transfarmation indispensable to the individual communal farmer without requiring network effects to deliver value</w:t>
      </w:r>
    </w:p>
    <w:p>
      <w:pPr>
        <w:pStyle w:val="ListParagraph"/>
        <w:numPr>
          <w:ilvl w:val="0"/>
          <w:numId w:val="2"/>
        </w:numPr>
        <w:spacing w:after="40"/>
      </w:pPr>
      <w:r>
        <w:rPr>
          <w:rFonts w:ascii="Calibri" w:cs="Calibri" w:eastAsia="Calibri" w:hAnsi="Calibri"/>
          <w:color w:val="1B3A1B"/>
          <w:sz w:val="16"/>
          <w:szCs w:val="16"/>
        </w:rPr>
        <w:t xml:space="preserve">Replace opaque paper contract farming with a transparent, financeable digital process</w:t>
      </w:r>
    </w:p>
    <w:p>
      <w:pPr>
        <w:pStyle w:val="ListParagraph"/>
        <w:numPr>
          <w:ilvl w:val="0"/>
          <w:numId w:val="2"/>
        </w:numPr>
        <w:spacing w:after="40"/>
      </w:pPr>
      <w:r>
        <w:rPr>
          <w:rFonts w:ascii="Calibri" w:cs="Calibri" w:eastAsia="Calibri" w:hAnsi="Calibri"/>
          <w:color w:val="1B3A1B"/>
          <w:sz w:val="16"/>
          <w:szCs w:val="16"/>
        </w:rPr>
        <w:t xml:space="preserve">Reduce side-marketing losses to contractors and the national economy through biometric grower and GPS verification</w:t>
      </w:r>
    </w:p>
    <w:p>
      <w:pPr>
        <w:pStyle w:val="ListParagraph"/>
        <w:numPr>
          <w:ilvl w:val="0"/>
          <w:numId w:val="2"/>
        </w:numPr>
        <w:spacing w:after="40"/>
      </w:pPr>
      <w:r>
        <w:rPr>
          <w:rFonts w:ascii="Calibri" w:cs="Calibri" w:eastAsia="Calibri" w:hAnsi="Calibri"/>
          <w:color w:val="1B3A1B"/>
          <w:sz w:val="16"/>
          <w:szCs w:val="16"/>
        </w:rPr>
        <w:t xml:space="preserve">Automate statutory levy collection and environmental (deforestation) compliance at point of sale</w:t>
      </w:r>
    </w:p>
    <w:p>
      <w:pPr>
        <w:pStyle w:val="ListParagraph"/>
        <w:numPr>
          <w:ilvl w:val="0"/>
          <w:numId w:val="2"/>
        </w:numPr>
        <w:spacing w:after="40"/>
      </w:pPr>
      <w:r>
        <w:rPr>
          <w:rFonts w:ascii="Calibri" w:cs="Calibri" w:eastAsia="Calibri" w:hAnsi="Calibri"/>
          <w:color w:val="1B3A1B"/>
          <w:sz w:val="16"/>
          <w:szCs w:val="16"/>
        </w:rPr>
        <w:t xml:space="preserve">De-risk input financing for banks and merchants via real-time credit-scoring data</w:t>
      </w:r>
    </w:p>
    <w:p>
      <w:pPr>
        <w:pStyle w:val="ListParagraph"/>
        <w:numPr>
          <w:ilvl w:val="0"/>
          <w:numId w:val="2"/>
        </w:numPr>
        <w:spacing w:after="40"/>
      </w:pPr>
      <w:r>
        <w:rPr>
          <w:rFonts w:ascii="Calibri" w:cs="Calibri" w:eastAsia="Calibri" w:hAnsi="Calibri"/>
          <w:color w:val="1B3A1B"/>
          <w:sz w:val="16"/>
          <w:szCs w:val="16"/>
        </w:rPr>
        <w:t xml:space="preserve">Prove a reusable model that extends from tobacco to horticulture (tomatoes) and other verticals with minimal rework</w:t>
      </w:r>
    </w:p>
    <w:p>
      <w:pPr>
        <w:pStyle w:val="Heading2"/>
        <w:spacing w:after="60" w:before="120"/>
      </w:pPr>
      <w:r>
        <w:rPr>
          <w:rFonts w:ascii="Calibri" w:cs="Calibri" w:eastAsia="Calibri" w:hAnsi="Calibri"/>
          <w:b/>
          <w:bCs/>
          <w:color w:val="1B3A1B"/>
          <w:sz w:val="20"/>
          <w:szCs w:val="20"/>
        </w:rPr>
        <w:t xml:space="preserve">Scope</w:t>
      </w:r>
    </w:p>
    <w:p>
      <w:pPr>
        <w:spacing w:after="40" w:before="80"/>
      </w:pPr>
      <w:r>
        <w:rPr>
          <w:rFonts w:ascii="Calibri" w:cs="Calibri" w:eastAsia="Calibri" w:hAnsi="Calibri"/>
          <w:b/>
          <w:bCs/>
          <w:color w:val="2E7D32"/>
          <w:sz w:val="18"/>
          <w:szCs w:val="18"/>
        </w:rPr>
        <w:t xml:space="preserve">In scope for the pilot</w:t>
      </w:r>
    </w:p>
    <w:p>
      <w:pPr>
        <w:pStyle w:val="ListParagraph"/>
        <w:numPr>
          <w:ilvl w:val="0"/>
          <w:numId w:val="2"/>
        </w:numPr>
        <w:spacing w:after="40"/>
      </w:pPr>
      <w:r>
        <w:rPr>
          <w:rFonts w:ascii="Calibri" w:cs="Calibri" w:eastAsia="Calibri" w:hAnsi="Calibri"/>
          <w:color w:val="1B3A1B"/>
          <w:sz w:val="16"/>
          <w:szCs w:val="16"/>
        </w:rPr>
        <w:t xml:space="preserve">Module 1: Bankable Feasibility &amp; Offtake Agreements for communal tobacco farmers in Zimbabwe</w:t>
      </w:r>
    </w:p>
    <w:p>
      <w:pPr>
        <w:pStyle w:val="ListParagraph"/>
        <w:numPr>
          <w:ilvl w:val="0"/>
          <w:numId w:val="2"/>
        </w:numPr>
        <w:spacing w:after="40"/>
      </w:pPr>
      <w:r>
        <w:rPr>
          <w:rFonts w:ascii="Calibri" w:cs="Calibri" w:eastAsia="Calibri" w:hAnsi="Calibri"/>
          <w:color w:val="1B3A1B"/>
          <w:sz w:val="16"/>
          <w:szCs w:val="16"/>
        </w:rPr>
        <w:t xml:space="preserve">TIMB Regulatory Gateway: biometric grower registration sync, side-marketing prevention, statutory levy and environmental compliance automation</w:t>
      </w:r>
    </w:p>
    <w:p>
      <w:pPr>
        <w:pStyle w:val="ListParagraph"/>
        <w:numPr>
          <w:ilvl w:val="0"/>
          <w:numId w:val="2"/>
        </w:numPr>
        <w:spacing w:after="40"/>
      </w:pPr>
      <w:r>
        <w:rPr>
          <w:rFonts w:ascii="Calibri" w:cs="Calibri" w:eastAsia="Calibri" w:hAnsi="Calibri"/>
          <w:color w:val="1B3A1B"/>
          <w:sz w:val="16"/>
          <w:szCs w:val="16"/>
        </w:rPr>
        <w:t xml:space="preserve">A design built for extension to horticulture (tomatoes), including cold-chain and spot-market logistics</w:t>
      </w:r>
    </w:p>
    <w:p>
      <w:pPr>
        <w:spacing w:after="40" w:before="80"/>
      </w:pPr>
      <w:r>
        <w:rPr>
          <w:rFonts w:ascii="Calibri" w:cs="Calibri" w:eastAsia="Calibri" w:hAnsi="Calibri"/>
          <w:b/>
          <w:bCs/>
          <w:color w:val="7A5200"/>
          <w:sz w:val="18"/>
          <w:szCs w:val="18"/>
        </w:rPr>
        <w:t xml:space="preserve">Out of scope for the pilot phase</w:t>
      </w:r>
    </w:p>
    <w:p>
      <w:pPr>
        <w:pStyle w:val="ListParagraph"/>
        <w:numPr>
          <w:ilvl w:val="0"/>
          <w:numId w:val="2"/>
        </w:numPr>
        <w:spacing w:after="40"/>
      </w:pPr>
      <w:r>
        <w:rPr>
          <w:rFonts w:ascii="Calibri" w:cs="Calibri" w:eastAsia="Calibri" w:hAnsi="Calibri"/>
          <w:color w:val="1B3A1B"/>
          <w:sz w:val="16"/>
          <w:szCs w:val="16"/>
        </w:rPr>
        <w:t xml:space="preserve">Full Logistics &amp; Transport Module (freight-matching and escrow settlement) — a follow-on phase</w:t>
      </w:r>
    </w:p>
    <w:p>
      <w:pPr>
        <w:pStyle w:val="ListParagraph"/>
        <w:numPr>
          <w:ilvl w:val="0"/>
          <w:numId w:val="2"/>
        </w:numPr>
        <w:spacing w:after="40"/>
      </w:pPr>
      <w:r>
        <w:rPr>
          <w:rFonts w:ascii="Calibri" w:cs="Calibri" w:eastAsia="Calibri" w:hAnsi="Calibri"/>
          <w:color w:val="1B3A1B"/>
          <w:sz w:val="16"/>
          <w:szCs w:val="16"/>
        </w:rPr>
        <w:t xml:space="preserve">Verticals beyond tobacco and tomatoes · Markets outside Zimbabwe</w:t>
      </w:r>
    </w:p>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MARKET OPPORTUNITY</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A US$1.18 billion sector losing US$57 million a year to a problem this platform solves</w:t>
      </w:r>
    </w:p>
    <w:p>
      <w:pPr>
        <w:spacing w:after="100"/>
      </w:pPr>
      <w:r>
        <w:rPr>
          <w:rFonts w:ascii="Calibri" w:cs="Calibri" w:eastAsia="Calibri" w:hAnsi="Calibri"/>
          <w:i/>
          <w:iCs/>
          <w:color w:val="5D7B5D"/>
          <w:sz w:val="12"/>
          <w:szCs w:val="12"/>
        </w:rPr>
        <w:t xml:space="preserve">Figures below are drawn from TIMB season data as reported in Zimbabwean business press (2025–26); treat them as directional, not audited.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2E7D32"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$1.18B</w:t>
            </w:r>
          </w:p>
          <w:p>
            <w:r>
              <w:rPr>
                <w:rFonts w:ascii="Calibri" w:cs="Calibri" w:eastAsia="Calibri" w:hAnsi="Calibri"/>
                <w:color w:val="5D7B5D"/>
                <w:sz w:val="13"/>
                <w:szCs w:val="13"/>
              </w:rPr>
              <w:t xml:space="preserve">2025 tobacco season earnings — a national record</w:t>
            </w:r>
          </w:p>
        </w:tc>
        <w:tc>
          <w:tcPr>
            <w:tcW w:type="dxa" w:w="2430"/>
            <w:tcBorders>
              <w:top w:val="single" w:color="7A5200"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115K</w:t>
            </w:r>
          </w:p>
          <w:p>
            <w:r>
              <w:rPr>
                <w:rFonts w:ascii="Calibri" w:cs="Calibri" w:eastAsia="Calibri" w:hAnsi="Calibri"/>
                <w:color w:val="5D7B5D"/>
                <w:sz w:val="13"/>
                <w:szCs w:val="13"/>
              </w:rPr>
              <w:t xml:space="preserve">Registered growers, 85% small-scale (2026 season)</w:t>
            </w:r>
          </w:p>
        </w:tc>
        <w:tc>
          <w:tcPr>
            <w:tcW w:type="dxa" w:w="2430"/>
            <w:tcBorders>
              <w:top w:val="single" w:color="C62828"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$57M</w:t>
            </w:r>
          </w:p>
          <w:p>
            <w:r>
              <w:rPr>
                <w:rFonts w:ascii="Calibri" w:cs="Calibri" w:eastAsia="Calibri" w:hAnsi="Calibri"/>
                <w:color w:val="5D7B5D"/>
                <w:sz w:val="13"/>
                <w:szCs w:val="13"/>
              </w:rPr>
              <w:t xml:space="preserve">Estimated annual cost of side-marketing alone</w:t>
            </w:r>
          </w:p>
        </w:tc>
        <w:tc>
          <w:tcPr>
            <w:tcW w:type="dxa" w:w="2430"/>
            <w:tcBorders>
              <w:top w:val="single" w:color="5C6BC0" w:sz="20"/>
              <w:left w:val="single" w:color="D5DDD5" w:sz="4"/>
              <w:bottom w:val="single" w:color="D5DDD5" w:sz="4"/>
              <w:right w:val="single" w:color="D5DDD5" w:sz="4"/>
            </w:tcBorders>
            <w:shd w:fill="FBFBF8" w:val="clear"/>
            <w:tcMar>
              <w:top w:type="dxa" w:w="140"/>
              <w:left w:type="dxa" w:w="130"/>
              <w:bottom w:type="dxa" w:w="130"/>
              <w:right w:type="dxa" w:w="130"/>
            </w:tcMar>
          </w:tcPr>
          <w:p>
            <w:pPr>
              <w:spacing w:after="20"/>
            </w:pPr>
            <w:r>
              <w:rPr>
                <w:rFonts w:ascii="Calibri Light" w:cs="Calibri Light" w:eastAsia="Calibri Light" w:hAnsi="Calibri Light"/>
                <w:b/>
                <w:bCs/>
                <w:color w:val="1B3A1B"/>
                <w:sz w:val="28"/>
                <w:szCs w:val="28"/>
              </w:rPr>
              <w:t xml:space="preserve">85K ha</w:t>
            </w:r>
          </w:p>
          <w:p>
            <w:r>
              <w:rPr>
                <w:rFonts w:ascii="Calibri" w:cs="Calibri" w:eastAsia="Calibri" w:hAnsi="Calibri"/>
                <w:color w:val="5D7B5D"/>
                <w:sz w:val="13"/>
                <w:szCs w:val="13"/>
              </w:rPr>
              <w:t xml:space="preserve">Land under tobacco, and still expanding</w:t>
            </w:r>
          </w:p>
        </w:tc>
      </w:tr>
    </w:tbl>
    <w:p>
      <w:pPr>
        <w:spacing w:after="140"/>
      </w:pPr>
    </w:p>
    <w:p>
      <w:pPr>
        <w:pStyle w:val="Heading2"/>
        <w:spacing w:after="60" w:before="120"/>
      </w:pPr>
      <w:r>
        <w:rPr>
          <w:rFonts w:ascii="Calibri" w:cs="Calibri" w:eastAsia="Calibri" w:hAnsi="Calibri"/>
          <w:b/>
          <w:bCs/>
          <w:color w:val="1B3A1B"/>
          <w:sz w:val="20"/>
          <w:szCs w:val="20"/>
        </w:rPr>
        <w:t xml:space="preserve">Competitive Landscape</w:t>
      </w:r>
    </w:p>
    <w:p>
      <w:pPr>
        <w:spacing w:after="90"/>
      </w:pPr>
      <w:r>
        <w:rPr>
          <w:rFonts w:ascii="Calibri" w:cs="Calibri" w:eastAsia="Calibri" w:hAnsi="Calibri"/>
          <w:color w:val="5D7B5D"/>
          <w:sz w:val="13"/>
          <w:szCs w:val="13"/>
        </w:rPr>
        <w:t xml:space="preserve">No existing platform, in Zimbabwe or the region, combines TIMB-grade regulatory compliance with farmer-first financing — even the closest local competitor stops at diagnosis and credit scoring.</w:t>
      </w:r>
    </w:p>
    <w:tbl>
      <w:tblPr>
        <w:tblW w:type="dxa" w:w="9720"/>
        <w:tblBorders>
          <w:top w:val="none"/>
          <w:left w:val="none"/>
          <w:bottom w:val="none"/>
          <w:right w:val="none"/>
          <w:insideH w:val="none"/>
          <w:insideV w:val="none"/>
        </w:tblBorders>
      </w:tblPr>
      <w:tblGrid>
        <w:gridCol w:w="2800"/>
        <w:gridCol w:w="3700"/>
        <w:gridCol w:w="3220"/>
      </w:tblGrid>
      <w:tr>
        <w:trPr>
          <w:tblHeader/>
        </w:trPr>
        <w:tc>
          <w:tcPr>
            <w:tcW w:type="dxa" w:w="28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Player</w:t>
            </w:r>
          </w:p>
        </w:tc>
        <w:tc>
          <w:tcPr>
            <w:tcW w:type="dxa" w:w="37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What It Does</w:t>
            </w:r>
          </w:p>
        </w:tc>
        <w:tc>
          <w:tcPr>
            <w:tcW w:type="dxa" w:w="32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The Gap</w:t>
            </w:r>
          </w:p>
        </w:tc>
      </w:tr>
      <w:tr>
        <w:tc>
          <w:tcPr>
            <w:tcW w:type="dxa" w:w="2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eAgro — CropFix AI &amp; Cred-farm (Zimbabwe)</w:t>
            </w:r>
          </w:p>
        </w:tc>
        <w:tc>
          <w:tcPr>
            <w:tcW w:type="dxa" w:w="37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WhatsApp-based AI pest/disease diagnosis plus alternative credit scoring from farm &amp; satellite data</w:t>
            </w:r>
          </w:p>
        </w:tc>
        <w:tc>
          <w:tcPr>
            <w:tcW w:type="dxa" w:w="32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Closest Zimbabwean competitor — still no TIMB sync, no escrow, no bankable-feasibility plan</w:t>
            </w:r>
          </w:p>
        </w:tc>
      </w:tr>
      <w:tr>
        <w:tc>
          <w:tcPr>
            <w:tcW w:type="dxa" w:w="28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Agro Axess (Zimbabwe)</w:t>
            </w:r>
          </w:p>
        </w:tc>
        <w:tc>
          <w:tcPr>
            <w:tcW w:type="dxa" w:w="37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Merchant-side app for managing contract farmers, input to yield</w:t>
            </w:r>
          </w:p>
        </w:tc>
        <w:tc>
          <w:tcPr>
            <w:tcW w:type="dxa" w:w="32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Built for the merchant, not the farmer; no TIMB sync, no escrow</w:t>
            </w:r>
          </w:p>
        </w:tc>
      </w:tr>
      <w:tr>
        <w:tc>
          <w:tcPr>
            <w:tcW w:type="dxa" w:w="2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Agri AI (Global, 160+ countries)</w:t>
            </w:r>
          </w:p>
        </w:tc>
        <w:tc>
          <w:tcPr>
            <w:tcW w:type="dxa" w:w="37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Tiered photo/video diagnosis with confidence scoring &amp; human escalation, satellite field-health scouting, weather/spray alerts, market prices, voice &amp; community</w:t>
            </w:r>
          </w:p>
        </w:tc>
        <w:tc>
          <w:tcPr>
            <w:tcW w:type="dxa" w:w="32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Best-in-class advisory layer, but no Shona/Ndebele, no Zimbabwe localisation, no financing or compliance at all</w:t>
            </w:r>
          </w:p>
        </w:tc>
      </w:tr>
      <w:tr>
        <w:tc>
          <w:tcPr>
            <w:tcW w:type="dxa" w:w="28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Apollo Agriculture (Kenya, Zambia)</w:t>
            </w:r>
          </w:p>
        </w:tc>
        <w:tc>
          <w:tcPr>
            <w:tcW w:type="dxa" w:w="37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Bundled credit, inputs, insurance &amp; agronomy via ML scoring</w:t>
            </w:r>
          </w:p>
        </w:tc>
        <w:tc>
          <w:tcPr>
            <w:tcW w:type="dxa" w:w="32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Closest model for the financing layer — proof it works, but not in Zimbabwe or tobacco</w:t>
            </w:r>
          </w:p>
        </w:tc>
      </w:tr>
      <w:tr>
        <w:tc>
          <w:tcPr>
            <w:tcW w:type="dxa" w:w="2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FarmDrive (Kenya)</w:t>
            </w:r>
          </w:p>
        </w:tc>
        <w:tc>
          <w:tcPr>
            <w:tcW w:type="dxa" w:w="37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Credit scoring for smallholders from farm records &amp; satellite data</w:t>
            </w:r>
          </w:p>
        </w:tc>
        <w:tc>
          <w:tcPr>
            <w:tcW w:type="dxa" w:w="32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Financing-only, no compliance or marketplace</w:t>
            </w:r>
          </w:p>
        </w:tc>
      </w:tr>
    </w:tbl>
    <w:p>
      <w:pPr>
        <w:spacing w:after="0"/>
      </w:pPr>
      <w:r>
        <w:rPr>
          <w:rFonts w:ascii="Calibri" w:cs="Calibri" w:eastAsia="Calibri" w:hAnsi="Calibri"/>
          <w:i/>
          <w:iCs/>
          <w:color w:val="5D7B5D"/>
          <w:sz w:val="10"/>
          <w:szCs w:val="10"/>
        </w:rPr>
        <w:t xml:space="preserve">Sources: TIMB season data via Business Times, AllAfrica and Equity Axis (2025–26); competitor data via eAgro, Agri AI (Google Play), AgFunder News, GSMA and FAO AgriTech Observatory.</w:t>
      </w:r>
    </w:p>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WHY WE WIN</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The moat is money, compliance and coordination — not the AI</w:t>
      </w:r>
    </w:p>
    <w:p>
      <w:pPr>
        <w:spacing w:after="100"/>
      </w:pPr>
      <w:r>
        <w:rPr>
          <w:rFonts w:ascii="Calibri" w:cs="Calibri" w:eastAsia="Calibri" w:hAnsi="Calibri"/>
          <w:color w:val="5D7B5D"/>
          <w:sz w:val="14"/>
          <w:szCs w:val="14"/>
        </w:rPr>
        <w:t xml:space="preserve">Every competitor found in the scan is a single-sided advisory tool — diagnosis, weather, or credit scoring, alone. None combines regulatory compliance, escrow-based financing, and multi-party coordination on one platform. That combination, not the AI layer, is what's structurally hard to copy.</w:t>
      </w:r>
    </w:p>
    <w:tbl>
      <w:tblPr>
        <w:tblW w:type="dxa" w:w="9720"/>
        <w:tblBorders>
          <w:top w:val="none"/>
          <w:left w:val="none"/>
          <w:bottom w:val="none"/>
          <w:right w:val="none"/>
          <w:insideH w:val="none"/>
          <w:insideV w:val="none"/>
        </w:tblBorders>
      </w:tblPr>
      <w:tblGrid>
        <w:gridCol w:w="4200"/>
        <w:gridCol w:w="5520"/>
      </w:tblGrid>
      <w:tr>
        <w:trPr>
          <w:tblHeader/>
        </w:trPr>
        <w:tc>
          <w:tcPr>
            <w:tcW w:type="dxa" w:w="42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The Moat</w:t>
            </w:r>
          </w:p>
        </w:tc>
        <w:tc>
          <w:tcPr>
            <w:tcW w:type="dxa" w:w="55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Why It's Hard to Copy</w:t>
            </w:r>
          </w:p>
        </w:tc>
      </w:tr>
      <w:tr>
        <w:tc>
          <w:tcPr>
            <w:tcW w:type="dxa" w:w="42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TIMB biometric sync &amp; side-marketing prevention</w:t>
            </w:r>
          </w:p>
        </w:tc>
        <w:tc>
          <w:tcPr>
            <w:tcW w:type="dxa" w:w="55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Requires a regulator MoU, not just engineering — a real head start for anyone starting today</w:t>
            </w:r>
          </w:p>
        </w:tc>
      </w:tr>
      <w:tr>
        <w:tc>
          <w:tcPr>
            <w:tcW w:type="dxa" w:w="42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Escrow &amp; settlement waterfall (levies → loan → freight → farmer)</w:t>
            </w:r>
          </w:p>
        </w:tc>
        <w:tc>
          <w:tcPr>
            <w:tcW w:type="dxa" w:w="55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Once banks and contractors route money through it, switching cost is real cash, not app-switching friction</w:t>
            </w:r>
          </w:p>
        </w:tc>
      </w:tr>
      <w:tr>
        <w:tc>
          <w:tcPr>
            <w:tcW w:type="dxa" w:w="42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Role-Based Workspace Engine (12+ roles, one identity)</w:t>
            </w:r>
          </w:p>
        </w:tc>
        <w:tc>
          <w:tcPr>
            <w:tcW w:type="dxa" w:w="55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Competitors build for one side of the market; this coordinates all of them on one data core</w:t>
            </w:r>
          </w:p>
        </w:tc>
      </w:tr>
      <w:tr>
        <w:tc>
          <w:tcPr>
            <w:tcW w:type="dxa" w:w="42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Bankable feasibility generation (auto 24-month cash flow)</w:t>
            </w:r>
          </w:p>
        </w:tc>
        <w:tc>
          <w:tcPr>
            <w:tcW w:type="dxa" w:w="55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No diagnosis or credit-scoring app generates a plan a bank will actually accept</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D32" w:sz="8"/>
              <w:left w:val="single" w:color="2E7D32" w:sz="8"/>
              <w:bottom w:val="single" w:color="2E7D32" w:sz="8"/>
              <w:right w:val="single" w:color="2E7D32" w:sz="8"/>
            </w:tcBorders>
            <w:shd w:fill="E8F5E9" w:val="clear"/>
            <w:tcMar>
              <w:top w:type="dxa" w:w="130"/>
              <w:left w:type="dxa" w:w="170"/>
              <w:bottom w:type="dxa" w:w="130"/>
              <w:right w:type="dxa" w:w="170"/>
            </w:tcMar>
          </w:tcPr>
          <w:p>
            <w:pPr>
              <w:spacing w:after="60"/>
            </w:pPr>
            <w:r>
              <w:rPr>
                <w:rFonts w:ascii="Calibri" w:cs="Calibri" w:eastAsia="Calibri" w:hAnsi="Calibri"/>
                <w:b/>
                <w:bCs/>
                <w:color w:val="1B5E20"/>
                <w:sz w:val="19"/>
                <w:szCs w:val="19"/>
              </w:rPr>
              <w:t xml:space="preserve">The One-Line Positioning</w:t>
            </w:r>
          </w:p>
          <w:p>
            <w:pPr>
              <w:spacing w:after="0"/>
            </w:pPr>
            <w:r>
              <w:rPr>
                <w:rFonts w:ascii="Calibri" w:cs="Calibri" w:eastAsia="Calibri" w:hAnsi="Calibri"/>
                <w:i/>
                <w:iCs/>
                <w:color w:val="1B3A1B"/>
                <w:sz w:val="15"/>
                <w:szCs w:val="15"/>
              </w:rPr>
              <w:t xml:space="preserve">“Agri AI tells a farmer what’s wrong with their crop. We’re the only one where that diagnosis turns into a loan, a contract, and a payout.”</w:t>
            </w:r>
          </w:p>
        </w:tc>
      </w:tr>
    </w:tbl>
    <w:p>
      <w:pPr>
        <w:spacing w:after="140"/>
      </w:pPr>
    </w:p>
    <w:p>
      <w:pPr>
        <w:pStyle w:val="Heading2"/>
        <w:spacing w:after="60" w:before="120"/>
      </w:pPr>
      <w:r>
        <w:rPr>
          <w:rFonts w:ascii="Calibri" w:cs="Calibri" w:eastAsia="Calibri" w:hAnsi="Calibri"/>
          <w:b/>
          <w:bCs/>
          <w:color w:val="1B3A1B"/>
          <w:sz w:val="20"/>
          <w:szCs w:val="20"/>
        </w:rPr>
        <w:t xml:space="preserve">Must-Haves to Inherit — table stakes the BRD already specs</w:t>
      </w:r>
    </w:p>
    <w:tbl>
      <w:tblPr>
        <w:tblW w:type="dxa" w:w="9720"/>
        <w:tblBorders>
          <w:top w:val="none"/>
          <w:left w:val="none"/>
          <w:bottom w:val="none"/>
          <w:right w:val="none"/>
          <w:insideH w:val="none"/>
          <w:insideV w:val="none"/>
        </w:tblBorders>
      </w:tblPr>
      <w:tblGrid>
        <w:gridCol w:w="1800"/>
        <w:gridCol w:w="7920"/>
      </w:tblGrid>
      <w:tr>
        <w:trPr>
          <w:tblHeader/>
        </w:trPr>
        <w:tc>
          <w:tcPr>
            <w:tcW w:type="dxa" w:w="18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From</w:t>
            </w:r>
          </w:p>
        </w:tc>
        <w:tc>
          <w:tcPr>
            <w:tcW w:type="dxa" w:w="79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What to Match</w:t>
            </w:r>
          </w:p>
        </w:tc>
      </w:tr>
      <w:tr>
        <w:tc>
          <w:tcPr>
            <w:tcW w:type="dxa" w:w="1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Agri AI</w:t>
            </w:r>
          </w:p>
        </w:tc>
        <w:tc>
          <w:tcPr>
            <w:tcW w:type="dxa" w:w="79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Honest confidence scoring + automatic human-agronomist escalation (FR7.6)</w:t>
            </w:r>
          </w:p>
        </w:tc>
      </w:tr>
      <w:tr>
        <w:tc>
          <w:tcPr>
            <w:tcW w:type="dxa" w:w="18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Agri AI</w:t>
            </w:r>
          </w:p>
        </w:tc>
        <w:tc>
          <w:tcPr>
            <w:tcW w:type="dxa" w:w="79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Proactive weather + crop-stage alerts, not just on-demand (FR7.9)</w:t>
            </w:r>
          </w:p>
        </w:tc>
      </w:tr>
      <w:tr>
        <w:tc>
          <w:tcPr>
            <w:tcW w:type="dxa" w:w="1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Agri AI</w:t>
            </w:r>
          </w:p>
        </w:tc>
        <w:tc>
          <w:tcPr>
            <w:tcW w:type="dxa" w:w="79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PDF reports shareable with a lender/adviser (FR1.11, FR20.6)</w:t>
            </w:r>
          </w:p>
        </w:tc>
      </w:tr>
      <w:tr>
        <w:tc>
          <w:tcPr>
            <w:tcW w:type="dxa" w:w="18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eAgro</w:t>
            </w:r>
          </w:p>
        </w:tc>
        <w:tc>
          <w:tcPr>
            <w:tcW w:type="dxa" w:w="79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Chat-based advisory as a fallback for farmers who won't use a full app</w:t>
            </w:r>
          </w:p>
        </w:tc>
      </w:tr>
    </w:tbl>
    <w:p>
      <w:pPr>
        <w:spacing w:after="120"/>
      </w:pPr>
    </w:p>
    <w:p>
      <w:pPr>
        <w:pStyle w:val="Heading2"/>
        <w:spacing w:after="60" w:before="120"/>
      </w:pPr>
      <w:r>
        <w:rPr>
          <w:rFonts w:ascii="Calibri" w:cs="Calibri" w:eastAsia="Calibri" w:hAnsi="Calibri"/>
          <w:b/>
          <w:bCs/>
          <w:color w:val="1B3A1B"/>
          <w:sz w:val="20"/>
          <w:szCs w:val="20"/>
        </w:rPr>
        <w:t xml:space="preserve">Nice-to-Haves Worth Inheriting — real differentiation, Phase 2–3</w:t>
      </w:r>
    </w:p>
    <w:p>
      <w:pPr>
        <w:pStyle w:val="ListParagraph"/>
        <w:numPr>
          <w:ilvl w:val="0"/>
          <w:numId w:val="2"/>
        </w:numPr>
        <w:spacing w:after="40"/>
      </w:pPr>
      <w:r>
        <w:rPr>
          <w:rFonts w:ascii="Calibri" w:cs="Calibri" w:eastAsia="Calibri" w:hAnsi="Calibri"/>
          <w:color w:val="1B3A1B"/>
          <w:sz w:val="16"/>
          <w:szCs w:val="16"/>
        </w:rPr>
        <w:t xml:space="preserve">Decision-support weather (spray-timing engine, GDD, leaf wetness) — not yet explicit in the BRD; worth adding</w:t>
      </w:r>
    </w:p>
    <w:p>
      <w:pPr>
        <w:pStyle w:val="ListParagraph"/>
        <w:numPr>
          <w:ilvl w:val="0"/>
          <w:numId w:val="2"/>
        </w:numPr>
        <w:spacing w:after="40"/>
      </w:pPr>
      <w:r>
        <w:rPr>
          <w:rFonts w:ascii="Calibri" w:cs="Calibri" w:eastAsia="Calibri" w:hAnsi="Calibri"/>
          <w:color w:val="1B3A1B"/>
          <w:sz w:val="16"/>
          <w:szCs w:val="16"/>
        </w:rPr>
        <w:t xml:space="preserve">Farmer community / peer feed, scoped to contract clusters — more trustworthy than a generic global feed</w:t>
      </w:r>
    </w:p>
    <w:p>
      <w:pPr>
        <w:pStyle w:val="ListParagraph"/>
        <w:numPr>
          <w:ilvl w:val="0"/>
          <w:numId w:val="2"/>
        </w:numPr>
        <w:spacing w:after="40"/>
      </w:pPr>
      <w:r>
        <w:rPr>
          <w:rFonts w:ascii="Calibri" w:cs="Calibri" w:eastAsia="Calibri" w:hAnsi="Calibri"/>
          <w:color w:val="1B3A1B"/>
          <w:sz w:val="16"/>
          <w:szCs w:val="16"/>
        </w:rPr>
        <w:t xml:space="preserve">Voice assistant in Shona &amp; Ndebele specifically — no competitor found covers either language; a genuine, defensible gap</w:t>
      </w:r>
    </w:p>
    <w:p>
      <w:pPr>
        <w:pStyle w:val="ListParagraph"/>
        <w:numPr>
          <w:ilvl w:val="0"/>
          <w:numId w:val="2"/>
        </w:numPr>
        <w:spacing w:after="40"/>
      </w:pPr>
      <w:r>
        <w:rPr>
          <w:rFonts w:ascii="Calibri" w:cs="Calibri" w:eastAsia="Calibri" w:hAnsi="Calibri"/>
          <w:color w:val="1B3A1B"/>
          <w:sz w:val="16"/>
          <w:szCs w:val="16"/>
        </w:rPr>
        <w:t xml:space="preserve">Satellite/NDVI field-health scouting — capital-intensive, later-phase</w:t>
      </w:r>
    </w:p>
    <w:p>
      <w:pPr>
        <w:spacing w:after="11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shd w:fill="1B2E1B" w:val="clear"/>
            <w:tcMar>
              <w:top w:type="dxa" w:w="110"/>
              <w:left w:type="dxa" w:w="170"/>
              <w:bottom w:type="dxa" w:w="110"/>
              <w:right w:type="dxa" w:w="170"/>
            </w:tcMar>
          </w:tcPr>
          <w:p>
            <w:pPr>
              <w:spacing w:after="30"/>
            </w:pPr>
            <w:r>
              <w:rPr>
                <w:rFonts w:ascii="Calibri" w:cs="Calibri" w:eastAsia="Calibri" w:hAnsi="Calibri"/>
                <w:b/>
                <w:bCs/>
                <w:color w:val="FFFFFF"/>
                <w:sz w:val="15"/>
                <w:szCs w:val="15"/>
              </w:rPr>
              <w:t xml:space="preserve">The Strategic Bet: 3 things, not 16</w:t>
            </w:r>
          </w:p>
          <w:p>
            <w:r>
              <w:rPr>
                <w:rFonts w:ascii="Calibri" w:cs="Calibri" w:eastAsia="Calibri" w:hAnsi="Calibri"/>
                <w:color w:val="E8F5E9"/>
                <w:sz w:val="12"/>
                <w:szCs w:val="12"/>
              </w:rPr>
              <w:t xml:space="preserve">The 333-requirement scope is a risk to uniqueness, not a guarantee of it. AI diagnosis, weather, and chat are now a proven commodity — Agri AI already does them well, globally, for free. Scarce engineering effort goes to the TIMB integration, the escrow/settlement waterfall, and the Workspace Engine: the only three things here a well-funded competitor cannot copy in six months. Everything else is built to parity, not over-invested.</w:t>
            </w:r>
          </w:p>
        </w:tc>
      </w:tr>
    </w:tbl>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01 — THE OPPORTUNITY</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Zimbabwe’s tobacco value chain, made bankable, compliant and fair</w:t>
      </w:r>
    </w:p>
    <w:p>
      <w:pPr>
        <w:spacing w:after="120"/>
      </w:pPr>
      <w:r>
        <w:rPr>
          <w:rFonts w:ascii="Calibri" w:cs="Calibri" w:eastAsia="Calibri" w:hAnsi="Calibri"/>
          <w:color w:val="5D7B5D"/>
          <w:sz w:val="15"/>
          <w:szCs w:val="15"/>
        </w:rPr>
        <w:t xml:space="preserve">Over 90% of Zimbabwe’s tobacco production runs through contract farming regulated by TIMB. Transfarmation is the pilot wedge into that industry — the same model is designed to generalise into horticulture (tomatoes first) and further African markets without starting over.</w:t>
      </w:r>
    </w:p>
    <w:p>
      <w:pPr>
        <w:spacing w:after="40" w:before="80"/>
      </w:pPr>
      <w:r>
        <w:rPr>
          <w:rFonts w:ascii="Calibri" w:cs="Calibri" w:eastAsia="Calibri" w:hAnsi="Calibri"/>
          <w:b/>
          <w:bCs/>
          <w:color w:val="C62828"/>
          <w:sz w:val="18"/>
          <w:szCs w:val="18"/>
        </w:rPr>
        <w:t xml:space="preserve">The Problem</w:t>
      </w:r>
    </w:p>
    <w:p>
      <w:pPr>
        <w:pStyle w:val="ListParagraph"/>
        <w:numPr>
          <w:ilvl w:val="0"/>
          <w:numId w:val="2"/>
        </w:numPr>
        <w:spacing w:after="40"/>
      </w:pPr>
      <w:r>
        <w:rPr>
          <w:rFonts w:ascii="Calibri" w:cs="Calibri" w:eastAsia="Calibri" w:hAnsi="Calibri"/>
          <w:color w:val="1B3A1B"/>
          <w:sz w:val="16"/>
          <w:szCs w:val="16"/>
        </w:rPr>
        <w:t xml:space="preserve">Side-marketing leaks contracted tobacco to unauthorised buyers — TIMB estimates this costs the sector US$57 million a year</w:t>
      </w:r>
    </w:p>
    <w:p>
      <w:pPr>
        <w:pStyle w:val="ListParagraph"/>
        <w:numPr>
          <w:ilvl w:val="0"/>
          <w:numId w:val="2"/>
        </w:numPr>
        <w:spacing w:after="40"/>
      </w:pPr>
      <w:r>
        <w:rPr>
          <w:rFonts w:ascii="Calibri" w:cs="Calibri" w:eastAsia="Calibri" w:hAnsi="Calibri"/>
          <w:color w:val="1B3A1B"/>
          <w:sz w:val="16"/>
          <w:szCs w:val="16"/>
        </w:rPr>
        <w:t xml:space="preserve">Paper contracts &amp; slow, clerk-dependent feasibility studies trap farmers in debt</w:t>
      </w:r>
    </w:p>
    <w:p>
      <w:pPr>
        <w:pStyle w:val="ListParagraph"/>
        <w:numPr>
          <w:ilvl w:val="0"/>
          <w:numId w:val="2"/>
        </w:numPr>
        <w:spacing w:after="40"/>
      </w:pPr>
      <w:r>
        <w:rPr>
          <w:rFonts w:ascii="Calibri" w:cs="Calibri" w:eastAsia="Calibri" w:hAnsi="Calibri"/>
          <w:color w:val="1B3A1B"/>
          <w:sz w:val="16"/>
          <w:szCs w:val="16"/>
        </w:rPr>
        <w:t xml:space="preserve">Statutory levy &amp; deforestation compliance is manual and hard to verify</w:t>
      </w:r>
    </w:p>
    <w:p>
      <w:pPr>
        <w:pStyle w:val="ListParagraph"/>
        <w:numPr>
          <w:ilvl w:val="0"/>
          <w:numId w:val="2"/>
        </w:numPr>
        <w:spacing w:after="40"/>
      </w:pPr>
      <w:r>
        <w:rPr>
          <w:rFonts w:ascii="Calibri" w:cs="Calibri" w:eastAsia="Calibri" w:hAnsi="Calibri"/>
          <w:color w:val="1B3A1B"/>
          <w:sz w:val="16"/>
          <w:szCs w:val="16"/>
        </w:rPr>
        <w:t xml:space="preserve">Financiers lend blind — no real-time, verifiable data to price smallholder risk</w:t>
      </w:r>
    </w:p>
    <w:p>
      <w:pPr>
        <w:spacing w:after="40" w:before="80"/>
      </w:pPr>
      <w:r>
        <w:rPr>
          <w:rFonts w:ascii="Calibri" w:cs="Calibri" w:eastAsia="Calibri" w:hAnsi="Calibri"/>
          <w:b/>
          <w:bCs/>
          <w:color w:val="2E7D32"/>
          <w:sz w:val="18"/>
          <w:szCs w:val="18"/>
        </w:rPr>
        <w:t xml:space="preserve">Our Vision</w:t>
      </w:r>
    </w:p>
    <w:p>
      <w:pPr>
        <w:spacing w:after="140"/>
      </w:pPr>
      <w:r>
        <w:rPr>
          <w:rFonts w:ascii="Calibri" w:cs="Calibri" w:eastAsia="Calibri" w:hAnsi="Calibri"/>
          <w:color w:val="1B3A1B"/>
          <w:sz w:val="17"/>
          <w:szCs w:val="17"/>
        </w:rPr>
        <w:t xml:space="preserve">A single-player-value platform: it makes itself indispensable to one communal farmer with no other user needing to join first. Standalone offline tools — a bankable plan, a digital ledger, a plain-language contract — hook the farmer; compliance and financing value follow.</w:t>
      </w:r>
    </w:p>
    <w:p>
      <w:pPr>
        <w:pStyle w:val="Heading2"/>
        <w:spacing w:after="60" w:before="120"/>
      </w:pPr>
      <w:r>
        <w:rPr>
          <w:rFonts w:ascii="Calibri" w:cs="Calibri" w:eastAsia="Calibri" w:hAnsi="Calibri"/>
          <w:b/>
          <w:bCs/>
          <w:color w:val="1B3A1B"/>
          <w:sz w:val="20"/>
          <w:szCs w:val="20"/>
        </w:rPr>
        <w:t xml:space="preserve">Stakeholders &amp; Their Interest</w:t>
      </w:r>
    </w:p>
    <w:tbl>
      <w:tblPr>
        <w:tblW w:type="dxa" w:w="9720"/>
        <w:tblBorders>
          <w:top w:val="none"/>
          <w:left w:val="none"/>
          <w:bottom w:val="none"/>
          <w:right w:val="none"/>
          <w:insideH w:val="none"/>
          <w:insideV w:val="none"/>
        </w:tblBorders>
      </w:tblPr>
      <w:tblGrid>
        <w:gridCol w:w="3600"/>
        <w:gridCol w:w="6120"/>
      </w:tblGrid>
      <w:tr>
        <w:trPr>
          <w:tblHeader/>
        </w:trPr>
        <w:tc>
          <w:tcPr>
            <w:tcW w:type="dxa" w:w="36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Stakeholder</w:t>
            </w:r>
          </w:p>
        </w:tc>
        <w:tc>
          <w:tcPr>
            <w:tcW w:type="dxa" w:w="61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Role / Interest</w:t>
            </w:r>
          </w:p>
        </w:tc>
      </w:tr>
      <w:tr>
        <w:tc>
          <w:tcPr>
            <w:tcW w:type="dxa" w:w="3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Formal &amp; communal farmers</w:t>
            </w:r>
          </w:p>
        </w:tc>
        <w:tc>
          <w:tcPr>
            <w:tcW w:type="dxa" w:w="6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Bankable feasibility, offtake certainty, agronomy support, financial tools usable standalone</w:t>
            </w:r>
          </w:p>
        </w:tc>
      </w:tr>
      <w:tr>
        <w:tc>
          <w:tcPr>
            <w:tcW w:type="dxa" w:w="3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Advisors &amp; agronomists</w:t>
            </w:r>
          </w:p>
        </w:tc>
        <w:tc>
          <w:tcPr>
            <w:tcW w:type="dxa" w:w="61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Structured farm data and clear farmer context to give expert input at scale</w:t>
            </w:r>
          </w:p>
        </w:tc>
      </w:tr>
      <w:tr>
        <w:tc>
          <w:tcPr>
            <w:tcW w:type="dxa" w:w="3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Contract farming intermediaries</w:t>
            </w:r>
          </w:p>
        </w:tc>
        <w:tc>
          <w:tcPr>
            <w:tcW w:type="dxa" w:w="6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Reduced default risk, verified deliveries, streamlined agreement management</w:t>
            </w:r>
          </w:p>
        </w:tc>
      </w:tr>
      <w:tr>
        <w:tc>
          <w:tcPr>
            <w:tcW w:type="dxa" w:w="3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Bankers</w:t>
            </w:r>
          </w:p>
        </w:tc>
        <w:tc>
          <w:tcPr>
            <w:tcW w:type="dxa" w:w="61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Real-time credit-scoring data to de-risk lending to smallholders</w:t>
            </w:r>
          </w:p>
        </w:tc>
      </w:tr>
      <w:tr>
        <w:tc>
          <w:tcPr>
            <w:tcW w:type="dxa" w:w="3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Government &amp; regulators (TIMB)</w:t>
            </w:r>
          </w:p>
        </w:tc>
        <w:tc>
          <w:tcPr>
            <w:tcW w:type="dxa" w:w="6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Statutory returns, compliance enforcement, side-marketing prevention</w:t>
            </w:r>
          </w:p>
        </w:tc>
      </w:tr>
      <w:tr>
        <w:tc>
          <w:tcPr>
            <w:tcW w:type="dxa" w:w="3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Manufacturers (offtakers) &amp; retailers</w:t>
            </w:r>
          </w:p>
        </w:tc>
        <w:tc>
          <w:tcPr>
            <w:tcW w:type="dxa" w:w="61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2"/>
                <w:szCs w:val="12"/>
              </w:rPr>
              <w:t xml:space="preserve">Reliable, traceable, quality-graded volume and supply</w:t>
            </w:r>
          </w:p>
        </w:tc>
      </w:tr>
      <w:tr>
        <w:tc>
          <w:tcPr>
            <w:tcW w:type="dxa" w:w="3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Agents, transporters &amp; service providers</w:t>
            </w:r>
          </w:p>
        </w:tc>
        <w:tc>
          <w:tcPr>
            <w:tcW w:type="dxa" w:w="6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2"/>
                <w:szCs w:val="12"/>
              </w:rPr>
              <w:t xml:space="preserve">A transparent channel to represent, haul, and supply farmers and earn fairly</w:t>
            </w:r>
          </w:p>
        </w:tc>
      </w:tr>
    </w:tbl>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VALUE PROPOSITIONS BY PLATFORM PLAYER</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What each participant gets — and why it holds on its own</w:t>
      </w:r>
    </w:p>
    <w:p>
      <w:pPr>
        <w:spacing w:after="140"/>
      </w:pPr>
      <w:r>
        <w:rPr>
          <w:rFonts w:ascii="Calibri" w:cs="Calibri" w:eastAsia="Calibri" w:hAnsi="Calibri"/>
          <w:i/>
          <w:iCs/>
          <w:color w:val="5D7B5D"/>
          <w:sz w:val="14"/>
          <w:szCs w:val="14"/>
        </w:rPr>
        <w:t xml:space="preserve">Design principle: every player’s value proposition must hold on its own. The platform is never allowed to depend on network effects to be useful to its lowest-common-denominator user — the communal farmer, the individual transporter, the individual agent.</w:t>
      </w:r>
    </w:p>
    <w:p>
      <w:pPr>
        <w:spacing w:after="40" w:before="80"/>
      </w:pPr>
      <w:r>
        <w:rPr>
          <w:rFonts w:ascii="Calibri" w:cs="Calibri" w:eastAsia="Calibri" w:hAnsi="Calibri"/>
          <w:b/>
          <w:bCs/>
          <w:color w:val="2E7D32"/>
          <w:sz w:val="18"/>
          <w:szCs w:val="18"/>
        </w:rPr>
        <w:t xml:space="preserve">Farmers (formal &amp; communal)</w:t>
      </w:r>
    </w:p>
    <w:p>
      <w:pPr>
        <w:spacing w:after="100"/>
      </w:pPr>
      <w:r>
        <w:rPr>
          <w:rFonts w:ascii="Calibri" w:cs="Calibri" w:eastAsia="Calibri" w:hAnsi="Calibri"/>
          <w:color w:val="1B3A1B"/>
          <w:sz w:val="17"/>
          <w:szCs w:val="17"/>
        </w:rPr>
        <w:t xml:space="preserve">Delivered through a suite of standalone modules, so a farmer can extract value without waiting on any other player: bankable feasibility studies &amp; upstream offtake agreements, agronomy guidance, accounting &amp; financial management, distribution &amp; logistics, marketing &amp; CRM, and refrigeration &amp; storage.</w:t>
      </w:r>
    </w:p>
    <w:p>
      <w:pPr>
        <w:spacing w:after="40" w:before="80"/>
      </w:pPr>
      <w:r>
        <w:rPr>
          <w:rFonts w:ascii="Calibri" w:cs="Calibri" w:eastAsia="Calibri" w:hAnsi="Calibri"/>
          <w:b/>
          <w:bCs/>
          <w:color w:val="7A5200"/>
          <w:sz w:val="18"/>
          <w:szCs w:val="18"/>
        </w:rPr>
        <w:t xml:space="preserve">Government</w:t>
      </w:r>
    </w:p>
    <w:p>
      <w:pPr>
        <w:spacing w:after="100"/>
      </w:pPr>
      <w:r>
        <w:rPr>
          <w:rFonts w:ascii="Calibri" w:cs="Calibri" w:eastAsia="Calibri" w:hAnsi="Calibri"/>
          <w:color w:val="1B3A1B"/>
          <w:sz w:val="17"/>
          <w:szCs w:val="17"/>
        </w:rPr>
        <w:t xml:space="preserve">Visibility into statutory returns, tax and levy collection, and formalised transaction data across the sector, strengthening policy-making and economic planning.</w:t>
      </w:r>
    </w:p>
    <w:p>
      <w:pPr>
        <w:spacing w:after="40" w:before="80"/>
      </w:pPr>
      <w:r>
        <w:rPr>
          <w:rFonts w:ascii="Calibri" w:cs="Calibri" w:eastAsia="Calibri" w:hAnsi="Calibri"/>
          <w:b/>
          <w:bCs/>
          <w:color w:val="00897B"/>
          <w:sz w:val="18"/>
          <w:szCs w:val="18"/>
        </w:rPr>
        <w:t xml:space="preserve">Regulators (TIMB and equivalents)</w:t>
      </w:r>
    </w:p>
    <w:p>
      <w:pPr>
        <w:spacing w:after="100"/>
      </w:pPr>
      <w:r>
        <w:rPr>
          <w:rFonts w:ascii="Calibri" w:cs="Calibri" w:eastAsia="Calibri" w:hAnsi="Calibri"/>
          <w:color w:val="1B3A1B"/>
          <w:sz w:val="17"/>
          <w:szCs w:val="17"/>
        </w:rPr>
        <w:t xml:space="preserve">A compliance layer that enforces the underlying law automatically — making the platform infrastructure rather than an obstacle.</w:t>
      </w:r>
    </w:p>
    <w:p>
      <w:pPr>
        <w:spacing w:after="40" w:before="80"/>
      </w:pPr>
      <w:r>
        <w:rPr>
          <w:rFonts w:ascii="Calibri" w:cs="Calibri" w:eastAsia="Calibri" w:hAnsi="Calibri"/>
          <w:b/>
          <w:bCs/>
          <w:color w:val="5C6BC0"/>
          <w:sz w:val="18"/>
          <w:szCs w:val="18"/>
        </w:rPr>
        <w:t xml:space="preserve">Bankers</w:t>
      </w:r>
    </w:p>
    <w:p>
      <w:pPr>
        <w:spacing w:after="100"/>
      </w:pPr>
      <w:r>
        <w:rPr>
          <w:rFonts w:ascii="Calibri" w:cs="Calibri" w:eastAsia="Calibri" w:hAnsi="Calibri"/>
          <w:color w:val="1B3A1B"/>
          <w:sz w:val="17"/>
          <w:szCs w:val="17"/>
        </w:rPr>
        <w:t xml:space="preserve">A live, verifiable credit-scoring ledger built from real input-utilisation and delivery data, reducing the cost of extending credit to the smallest growers.</w:t>
      </w:r>
    </w:p>
    <w:p>
      <w:pPr>
        <w:spacing w:after="40" w:before="80"/>
      </w:pPr>
      <w:r>
        <w:rPr>
          <w:rFonts w:ascii="Calibri" w:cs="Calibri" w:eastAsia="Calibri" w:hAnsi="Calibri"/>
          <w:b/>
          <w:bCs/>
          <w:color w:val="2E7D32"/>
          <w:sz w:val="18"/>
          <w:szCs w:val="18"/>
        </w:rPr>
        <w:t xml:space="preserve">Manufacturers / Offtakers &amp; Retailers</w:t>
      </w:r>
    </w:p>
    <w:p>
      <w:pPr>
        <w:spacing w:after="100"/>
      </w:pPr>
      <w:r>
        <w:rPr>
          <w:rFonts w:ascii="Calibri" w:cs="Calibri" w:eastAsia="Calibri" w:hAnsi="Calibri"/>
          <w:color w:val="1B3A1B"/>
          <w:sz w:val="17"/>
          <w:szCs w:val="17"/>
        </w:rPr>
        <w:t xml:space="preserve">Guaranteed, traceable, quality-graded volumes sourced directly from registered growers, and a dependable, trackable supply pipeline with visibility into quality and delivery timing.</w:t>
      </w:r>
    </w:p>
    <w:p>
      <w:pPr>
        <w:spacing w:after="40" w:before="80"/>
      </w:pPr>
      <w:r>
        <w:rPr>
          <w:rFonts w:ascii="Calibri" w:cs="Calibri" w:eastAsia="Calibri" w:hAnsi="Calibri"/>
          <w:b/>
          <w:bCs/>
          <w:color w:val="EF6C00"/>
          <w:sz w:val="18"/>
          <w:szCs w:val="18"/>
        </w:rPr>
        <w:t xml:space="preserve">Agents, Transporters &amp; Service Providers</w:t>
      </w:r>
    </w:p>
    <w:p>
      <w:pPr>
        <w:spacing w:after="0"/>
      </w:pPr>
      <w:r>
        <w:rPr>
          <w:rFonts w:ascii="Calibri" w:cs="Calibri" w:eastAsia="Calibri" w:hAnsi="Calibri"/>
          <w:color w:val="1B3A1B"/>
          <w:sz w:val="17"/>
          <w:szCs w:val="17"/>
        </w:rPr>
        <w:t xml:space="preserve">A transparent transactional channel. Agents represent farmers without disintermediating them, transporters get freight-matching and fast pay-on-delivery, and input/equipment providers get direct demand signals from farmers.</w:t>
      </w:r>
    </w:p>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THE WORKSPACE ENGINE</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One Role-Based Workspace Engine, not 12 applications</w:t>
      </w:r>
    </w:p>
    <w:p>
      <w:pPr>
        <w:spacing w:after="140"/>
      </w:pPr>
      <w:r>
        <w:rPr>
          <w:rFonts w:ascii="Calibri" w:cs="Calibri" w:eastAsia="Calibri" w:hAnsi="Calibri"/>
          <w:color w:val="5D7B5D"/>
          <w:sz w:val="15"/>
          <w:szCs w:val="15"/>
        </w:rPr>
        <w:t xml:space="preserve">To serve all 12+ ecosystem participants without becoming a fragmented web of software, Transfarmation uses one unified data core with specialised “lenses” (workspaces). Each participant sees only the tools, metrics, and workflows relevant to their function — while every action feeds a shared data flywheel.</w:t>
      </w:r>
    </w:p>
    <w:p>
      <w:pPr>
        <w:pStyle w:val="Heading2"/>
        <w:spacing w:after="60" w:before="120"/>
      </w:pPr>
      <w:r>
        <w:rPr>
          <w:rFonts w:ascii="Calibri" w:cs="Calibri" w:eastAsia="Calibri" w:hAnsi="Calibri"/>
          <w:b/>
          <w:bCs/>
          <w:color w:val="1B3A1B"/>
          <w:sz w:val="20"/>
          <w:szCs w:val="20"/>
        </w:rPr>
        <w:t xml:space="preserve">Design Principles</w:t>
      </w:r>
    </w:p>
    <w:p>
      <w:pPr>
        <w:pStyle w:val="ListParagraph"/>
        <w:numPr>
          <w:ilvl w:val="0"/>
          <w:numId w:val="2"/>
        </w:numPr>
        <w:spacing w:after="40"/>
      </w:pPr>
      <w:r>
        <w:rPr>
          <w:rFonts w:ascii="Calibri" w:cs="Calibri" w:eastAsia="Calibri" w:hAnsi="Calibri"/>
          <w:color w:val="1B3A1B"/>
          <w:sz w:val="16"/>
          <w:szCs w:val="16"/>
        </w:rPr>
        <w:t xml:space="preserve">One identity, many roles: a person can be a farmer and a transporter at once and switch workspace without logging out</w:t>
      </w:r>
    </w:p>
    <w:p>
      <w:pPr>
        <w:pStyle w:val="ListParagraph"/>
        <w:numPr>
          <w:ilvl w:val="0"/>
          <w:numId w:val="2"/>
        </w:numPr>
        <w:spacing w:after="40"/>
      </w:pPr>
      <w:r>
        <w:rPr>
          <w:rFonts w:ascii="Calibri" w:cs="Calibri" w:eastAsia="Calibri" w:hAnsi="Calibri"/>
          <w:color w:val="1B3A1B"/>
          <w:sz w:val="16"/>
          <w:szCs w:val="16"/>
        </w:rPr>
        <w:t xml:space="preserve">Shared modules, configured into workspaces: a new workspace or crop vertical is configuration, not a new application</w:t>
      </w:r>
    </w:p>
    <w:p>
      <w:pPr>
        <w:pStyle w:val="ListParagraph"/>
        <w:numPr>
          <w:ilvl w:val="0"/>
          <w:numId w:val="2"/>
        </w:numPr>
        <w:spacing w:after="40"/>
      </w:pPr>
      <w:r>
        <w:rPr>
          <w:rFonts w:ascii="Calibri" w:cs="Calibri" w:eastAsia="Calibri" w:hAnsi="Calibri"/>
          <w:color w:val="1B3A1B"/>
          <w:sz w:val="16"/>
          <w:szCs w:val="16"/>
        </w:rPr>
        <w:t xml:space="preserve">Data access follows role, consent, and need: each participant sees only what their function requires</w:t>
      </w:r>
    </w:p>
    <w:p>
      <w:pPr>
        <w:pStyle w:val="ListParagraph"/>
        <w:numPr>
          <w:ilvl w:val="0"/>
          <w:numId w:val="2"/>
        </w:numPr>
        <w:spacing w:after="40"/>
      </w:pPr>
      <w:r>
        <w:rPr>
          <w:rFonts w:ascii="Calibri" w:cs="Calibri" w:eastAsia="Calibri" w:hAnsi="Calibri"/>
          <w:color w:val="1B3A1B"/>
          <w:sz w:val="16"/>
          <w:szCs w:val="16"/>
        </w:rPr>
        <w:t xml:space="preserve">Standalone-value test: every workspace must be useful to its user alone before it depends on any other party</w:t>
      </w:r>
    </w:p>
    <w:p>
      <w:pPr>
        <w:pStyle w:val="Heading2"/>
        <w:spacing w:after="60" w:before="120"/>
      </w:pPr>
      <w:r>
        <w:rPr>
          <w:rFonts w:ascii="Calibri" w:cs="Calibri" w:eastAsia="Calibri" w:hAnsi="Calibri"/>
          <w:b/>
          <w:bCs/>
          <w:color w:val="1B3A1B"/>
          <w:sz w:val="20"/>
          <w:szCs w:val="20"/>
        </w:rPr>
        <w:t xml:space="preserve">The Workspace Matrix</w:t>
      </w:r>
    </w:p>
    <w:tbl>
      <w:tblPr>
        <w:tblW w:type="dxa" w:w="9720"/>
        <w:tblBorders>
          <w:top w:val="none"/>
          <w:left w:val="none"/>
          <w:bottom w:val="none"/>
          <w:right w:val="none"/>
          <w:insideH w:val="none"/>
          <w:insideV w:val="none"/>
        </w:tblBorders>
      </w:tblPr>
      <w:tblGrid>
        <w:gridCol w:w="2600"/>
        <w:gridCol w:w="2400"/>
        <w:gridCol w:w="4720"/>
      </w:tblGrid>
      <w:tr>
        <w:trPr>
          <w:tblHeader/>
        </w:trPr>
        <w:tc>
          <w:tcPr>
            <w:tcW w:type="dxa" w:w="26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Participant</w:t>
            </w:r>
          </w:p>
        </w:tc>
        <w:tc>
          <w:tcPr>
            <w:tcW w:type="dxa" w:w="24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Workspace (Lens)</w:t>
            </w:r>
          </w:p>
        </w:tc>
        <w:tc>
          <w:tcPr>
            <w:tcW w:type="dxa" w:w="47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What It Gives Them</w:t>
            </w:r>
          </w:p>
        </w:tc>
      </w:tr>
      <w:tr>
        <w:tc>
          <w:tcPr>
            <w:tcW w:type="dxa" w:w="2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Farmers</w:t>
            </w:r>
          </w:p>
        </w:tc>
        <w:tc>
          <w:tcPr>
            <w:tcW w:type="dxa" w:w="2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My Farm</w:t>
            </w:r>
          </w:p>
        </w:tc>
        <w:tc>
          <w:tcPr>
            <w:tcW w:type="dxa" w:w="47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Cash flow, crop calendar, debt balance, settlement statements</w:t>
            </w:r>
          </w:p>
        </w:tc>
      </w:tr>
      <w:tr>
        <w:tc>
          <w:tcPr>
            <w:tcW w:type="dxa" w:w="2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Advisors / agronomists</w:t>
            </w:r>
          </w:p>
        </w:tc>
        <w:tc>
          <w:tcPr>
            <w:tcW w:type="dxa" w:w="24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Advisory Desk</w:t>
            </w:r>
          </w:p>
        </w:tc>
        <w:tc>
          <w:tcPr>
            <w:tcW w:type="dxa" w:w="47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Crop stress across farms, advice response time</w:t>
            </w:r>
          </w:p>
        </w:tc>
      </w:tr>
      <w:tr>
        <w:tc>
          <w:tcPr>
            <w:tcW w:type="dxa" w:w="2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Contract intermediaries</w:t>
            </w:r>
          </w:p>
        </w:tc>
        <w:tc>
          <w:tcPr>
            <w:tcW w:type="dxa" w:w="2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Contract Command</w:t>
            </w:r>
          </w:p>
        </w:tc>
        <w:tc>
          <w:tcPr>
            <w:tcW w:type="dxa" w:w="47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Portfolio by grower, deliveries vs. contract, default risk</w:t>
            </w:r>
          </w:p>
        </w:tc>
      </w:tr>
      <w:tr>
        <w:tc>
          <w:tcPr>
            <w:tcW w:type="dxa" w:w="2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Bankers</w:t>
            </w:r>
          </w:p>
        </w:tc>
        <w:tc>
          <w:tcPr>
            <w:tcW w:type="dxa" w:w="24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Credit Desk</w:t>
            </w:r>
          </w:p>
        </w:tc>
        <w:tc>
          <w:tcPr>
            <w:tcW w:type="dxa" w:w="47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Loan book, repayments, credit scores, diversion alerts</w:t>
            </w:r>
          </w:p>
        </w:tc>
      </w:tr>
      <w:tr>
        <w:tc>
          <w:tcPr>
            <w:tcW w:type="dxa" w:w="2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Government &amp; TIMB</w:t>
            </w:r>
          </w:p>
        </w:tc>
        <w:tc>
          <w:tcPr>
            <w:tcW w:type="dxa" w:w="2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Policy / Compliance</w:t>
            </w:r>
          </w:p>
        </w:tc>
        <w:tc>
          <w:tcPr>
            <w:tcW w:type="dxa" w:w="47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Production stats, levy collection, flagged transactions</w:t>
            </w:r>
          </w:p>
        </w:tc>
      </w:tr>
      <w:tr>
        <w:tc>
          <w:tcPr>
            <w:tcW w:type="dxa" w:w="2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Offtakers &amp; retailers</w:t>
            </w:r>
          </w:p>
        </w:tc>
        <w:tc>
          <w:tcPr>
            <w:tcW w:type="dxa" w:w="24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Offtaker / Retail Portal</w:t>
            </w:r>
          </w:p>
        </w:tc>
        <w:tc>
          <w:tcPr>
            <w:tcW w:type="dxa" w:w="47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Volume vs. supply, quality, delivery times</w:t>
            </w:r>
          </w:p>
        </w:tc>
      </w:tr>
      <w:tr>
        <w:tc>
          <w:tcPr>
            <w:tcW w:type="dxa" w:w="2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Agents &amp; transporters</w:t>
            </w:r>
          </w:p>
        </w:tc>
        <w:tc>
          <w:tcPr>
            <w:tcW w:type="dxa" w:w="2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Agent / Fleet Console</w:t>
            </w:r>
          </w:p>
        </w:tc>
        <w:tc>
          <w:tcPr>
            <w:tcW w:type="dxa" w:w="47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Onboardings, commissions, jobs, earnings, ratings</w:t>
            </w:r>
          </w:p>
        </w:tc>
      </w:tr>
    </w:tbl>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02A — WHAT EACH MODULE SOLVES (1 OF 2)</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Farm, Money &amp; Logistics</w:t>
      </w:r>
    </w:p>
    <w:p>
      <w:pPr>
        <w:spacing w:after="120"/>
      </w:pPr>
      <w:r>
        <w:rPr>
          <w:rFonts w:ascii="Calibri" w:cs="Calibri" w:eastAsia="Calibri" w:hAnsi="Calibri"/>
          <w:i/>
          <w:iCs/>
          <w:color w:val="5D7B5D"/>
          <w:sz w:val="14"/>
          <w:szCs w:val="14"/>
        </w:rPr>
        <w:t xml:space="preserve">Every module, traced to the problem it solves and who it solves it for — not just the tobacco/TIMB headline.</w:t>
      </w:r>
    </w:p>
    <w:tbl>
      <w:tblPr>
        <w:tblW w:type="dxa" w:w="9720"/>
        <w:tblBorders>
          <w:top w:val="single" w:color="D5DDD5" w:sz="4"/>
          <w:left w:val="single" w:color="2E7D32"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Bankable Feasibility &amp; Offtake Agreements</w:t>
            </w:r>
            <w:r>
              <w:rPr>
                <w:rFonts w:ascii="Calibri" w:cs="Calibri" w:eastAsia="Calibri" w:hAnsi="Calibri"/>
                <w:b/>
                <w:bCs/>
                <w:caps/>
                <w:color w:val="2E7D32"/>
                <w:sz w:val="10"/>
                <w:szCs w:val="10"/>
              </w:rPr>
              <w:t xml:space="preserve">   Phase 1</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weeks waiting on a clerk; opaque paper contracts trap farmers in debt with no bankable plan</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auto-generated 24-month cash-flow &amp; plain-language contract, offline, in minutes</w:t>
            </w:r>
          </w:p>
        </w:tc>
      </w:tr>
    </w:tbl>
    <w:p>
      <w:pPr>
        <w:spacing w:after="40"/>
      </w:pPr>
    </w:p>
    <w:tbl>
      <w:tblPr>
        <w:tblW w:type="dxa" w:w="9720"/>
        <w:tblBorders>
          <w:top w:val="single" w:color="D5DDD5" w:sz="4"/>
          <w:left w:val="single" w:color="2E7D32"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Agronomy — Snap &amp; Solve Diagnostics</w:t>
            </w:r>
            <w:r>
              <w:rPr>
                <w:rFonts w:ascii="Calibri" w:cs="Calibri" w:eastAsia="Calibri" w:hAnsi="Calibri"/>
                <w:b/>
                <w:bCs/>
                <w:caps/>
                <w:color w:val="2E7D32"/>
                <w:sz w:val="10"/>
                <w:szCs w:val="10"/>
              </w:rPr>
              <w:t xml:space="preserve">   Phase 1</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pest/disease ID arrives too late; one advisor cannot scale past a handful of farms</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AI diagnosis with confidence scoring, localized remedy, and human escalation</w:t>
            </w:r>
          </w:p>
        </w:tc>
      </w:tr>
    </w:tbl>
    <w:p>
      <w:pPr>
        <w:spacing w:after="40"/>
      </w:pPr>
    </w:p>
    <w:tbl>
      <w:tblPr>
        <w:tblW w:type="dxa" w:w="9720"/>
        <w:tblBorders>
          <w:top w:val="single" w:color="D5DDD5" w:sz="4"/>
          <w:left w:val="single" w:color="2E7D32"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Accounting &amp; Digital Ledger / Input Escrow</w:t>
            </w:r>
            <w:r>
              <w:rPr>
                <w:rFonts w:ascii="Calibri" w:cs="Calibri" w:eastAsia="Calibri" w:hAnsi="Calibri"/>
                <w:b/>
                <w:bCs/>
                <w:caps/>
                <w:color w:val="2E7D32"/>
                <w:sz w:val="10"/>
                <w:szCs w:val="10"/>
              </w:rPr>
              <w:t xml:space="preserve">   Phase 1</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farmers keep no records &amp; face surprise debts; lenders see input loans diverted with no proof</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voice/photo ledger in local languages; loans held in milestone-based escrow, never cash</w:t>
            </w:r>
          </w:p>
        </w:tc>
      </w:tr>
    </w:tbl>
    <w:p>
      <w:pPr>
        <w:spacing w:after="40"/>
      </w:pPr>
    </w:p>
    <w:tbl>
      <w:tblPr>
        <w:tblW w:type="dxa" w:w="9720"/>
        <w:tblBorders>
          <w:top w:val="single" w:color="D5DDD5" w:sz="4"/>
          <w:left w:val="single" w:color="7A5200"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TIMB Biometric Registry Sync</w:t>
            </w:r>
            <w:r>
              <w:rPr>
                <w:rFonts w:ascii="Calibri" w:cs="Calibri" w:eastAsia="Calibri" w:hAnsi="Calibri"/>
                <w:b/>
                <w:bCs/>
                <w:caps/>
                <w:color w:val="7A5200"/>
                <w:sz w:val="10"/>
                <w:szCs w:val="10"/>
              </w:rPr>
              <w:t xml:space="preserve">   Phase 2</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manual registration queues; side-marketing leaks contracted tobacco to unauthorised buyers</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biometric ID bound to GPS plot; bale-level cross-check flags diversion automatically</w:t>
            </w:r>
          </w:p>
        </w:tc>
      </w:tr>
    </w:tbl>
    <w:p>
      <w:pPr>
        <w:spacing w:after="40"/>
      </w:pPr>
    </w:p>
    <w:tbl>
      <w:tblPr>
        <w:tblW w:type="dxa" w:w="9720"/>
        <w:tblBorders>
          <w:top w:val="single" w:color="D5DDD5" w:sz="4"/>
          <w:left w:val="single" w:color="7A5200"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Statutory Levy &amp; Environmental Compliance</w:t>
            </w:r>
            <w:r>
              <w:rPr>
                <w:rFonts w:ascii="Calibri" w:cs="Calibri" w:eastAsia="Calibri" w:hAnsi="Calibri"/>
                <w:b/>
                <w:bCs/>
                <w:caps/>
                <w:color w:val="7A5200"/>
                <w:sz w:val="10"/>
                <w:szCs w:val="10"/>
              </w:rPr>
              <w:t xml:space="preserve">   Phase 2</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levy deductions are unclear; export compliance clearance takes weeks of manual tracking</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levies &amp; reforestation deductions calculated, remitted, and certified automatically</w:t>
            </w:r>
          </w:p>
        </w:tc>
      </w:tr>
    </w:tbl>
    <w:p>
      <w:pPr>
        <w:spacing w:after="40"/>
      </w:pPr>
    </w:p>
    <w:tbl>
      <w:tblPr>
        <w:tblW w:type="dxa" w:w="9720"/>
        <w:tblBorders>
          <w:top w:val="single" w:color="D5DDD5" w:sz="4"/>
          <w:left w:val="single" w:color="00897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Horticulture Expansion (Tomatoes)</w:t>
            </w:r>
            <w:r>
              <w:rPr>
                <w:rFonts w:ascii="Calibri" w:cs="Calibri" w:eastAsia="Calibri" w:hAnsi="Calibri"/>
                <w:b/>
                <w:bCs/>
                <w:caps/>
                <w:color w:val="00897B"/>
                <w:sz w:val="10"/>
                <w:szCs w:val="10"/>
              </w:rPr>
              <w:t xml:space="preserve">   Cross-Phase</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perishable gluts, price volatility, and post-harvest loss push growers to informal traders</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staggered planting planner, daily price signals, one-tap harvest listing</w:t>
            </w:r>
          </w:p>
        </w:tc>
      </w:tr>
    </w:tbl>
    <w:p>
      <w:pPr>
        <w:spacing w:after="40"/>
      </w:pPr>
    </w:p>
    <w:tbl>
      <w:tblPr>
        <w:tblW w:type="dxa" w:w="9720"/>
        <w:tblBorders>
          <w:top w:val="single" w:color="D5DDD5" w:sz="4"/>
          <w:left w:val="single" w:color="5C6BC0"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Freight Matching &amp; Escrow Settlement</w:t>
            </w:r>
            <w:r>
              <w:rPr>
                <w:rFonts w:ascii="Calibri" w:cs="Calibri" w:eastAsia="Calibri" w:hAnsi="Calibri"/>
                <w:b/>
                <w:bCs/>
                <w:caps/>
                <w:color w:val="5C6BC0"/>
                <w:sz w:val="10"/>
                <w:szCs w:val="10"/>
              </w:rPr>
              <w:t xml:space="preserve">   Phase 3</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extortionate spot rates, empty return legs, and cash paid late or never</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escrow-funded booking, two-factor delivery confirmation, instant pay-on-delivery</w:t>
            </w:r>
          </w:p>
        </w:tc>
      </w:tr>
    </w:tbl>
    <w:p>
      <w:pPr>
        <w:spacing w:after="40"/>
      </w:pPr>
    </w:p>
    <w:tbl>
      <w:tblPr>
        <w:tblW w:type="dxa" w:w="9720"/>
        <w:tblBorders>
          <w:top w:val="single" w:color="D5DDD5" w:sz="4"/>
          <w:left w:val="single" w:color="5C6BC0"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Refrigeration &amp; Storage</w:t>
            </w:r>
            <w:r>
              <w:rPr>
                <w:rFonts w:ascii="Calibri" w:cs="Calibri" w:eastAsia="Calibri" w:hAnsi="Calibri"/>
                <w:b/>
                <w:bCs/>
                <w:caps/>
                <w:color w:val="5C6BC0"/>
                <w:sz w:val="10"/>
                <w:szCs w:val="10"/>
              </w:rPr>
              <w:t xml:space="preserve">   Phase 3</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produce spoils before sale; storage owners have idle capacity and no proof conditions were kept</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booking, shelf-life timers, and temperature-breach alerts</w:t>
            </w:r>
          </w:p>
        </w:tc>
      </w:tr>
    </w:tbl>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02B — WHAT EACH MODULE SOLVES (2 OF 2)</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Market, Advisory &amp; Institutions</w:t>
      </w:r>
    </w:p>
    <w:p>
      <w:pPr>
        <w:spacing w:after="120"/>
      </w:pPr>
      <w:r>
        <w:rPr>
          <w:rFonts w:ascii="Calibri" w:cs="Calibri" w:eastAsia="Calibri" w:hAnsi="Calibri"/>
          <w:i/>
          <w:iCs/>
          <w:color w:val="5D7B5D"/>
          <w:sz w:val="14"/>
          <w:szCs w:val="14"/>
        </w:rPr>
        <w:t xml:space="preserve">The offtake, market and back-office workspaces that complete the 12+ role ecosystem.</w:t>
      </w:r>
    </w:p>
    <w:tbl>
      <w:tblPr>
        <w:tblW w:type="dxa" w:w="9720"/>
        <w:tblBorders>
          <w:top w:val="single" w:color="D5DDD5" w:sz="4"/>
          <w:left w:val="single" w:color="00897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Consumer, Retailer &amp; Offtaker Integration</w:t>
            </w:r>
            <w:r>
              <w:rPr>
                <w:rFonts w:ascii="Calibri" w:cs="Calibri" w:eastAsia="Calibri" w:hAnsi="Calibri"/>
                <w:b/>
                <w:bCs/>
                <w:caps/>
                <w:color w:val="00897B"/>
                <w:sz w:val="10"/>
                <w:szCs w:val="10"/>
              </w:rPr>
              <w:t xml:space="preserve">   Phase 4</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manufacturers get unpredictable volume/quality; retailers get erratic delivery, no traceability</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forward contracts, QR batch traceability, escrow-backed payment on acceptance</w:t>
            </w:r>
          </w:p>
        </w:tc>
      </w:tr>
    </w:tbl>
    <w:p>
      <w:pPr>
        <w:spacing w:after="40"/>
      </w:pPr>
    </w:p>
    <w:tbl>
      <w:tblPr>
        <w:tblW w:type="dxa" w:w="9720"/>
        <w:tblBorders>
          <w:top w:val="single" w:color="D5DDD5" w:sz="4"/>
          <w:left w:val="single" w:color="00897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Tobacco Auction Floors &amp; Commodity Exchange</w:t>
            </w:r>
            <w:r>
              <w:rPr>
                <w:rFonts w:ascii="Calibri" w:cs="Calibri" w:eastAsia="Calibri" w:hAnsi="Calibri"/>
                <w:b/>
                <w:bCs/>
                <w:caps/>
                <w:color w:val="00897B"/>
                <w:sz w:val="10"/>
                <w:szCs w:val="10"/>
              </w:rPr>
              <w:t xml:space="preserve">   Phase 4</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farmers queue &amp; sleep outside warehouses for days; grading disputes are opaque and slow</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digital slot booking, tamper-evident bale tags, settlement inside the hour</w:t>
            </w:r>
          </w:p>
        </w:tc>
      </w:tr>
    </w:tbl>
    <w:p>
      <w:pPr>
        <w:spacing w:after="40"/>
      </w:pPr>
    </w:p>
    <w:tbl>
      <w:tblPr>
        <w:tblW w:type="dxa" w:w="9720"/>
        <w:tblBorders>
          <w:top w:val="single" w:color="D5DDD5" w:sz="4"/>
          <w:left w:val="single" w:color="00897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Marketing &amp; CRM</w:t>
            </w:r>
            <w:r>
              <w:rPr>
                <w:rFonts w:ascii="Calibri" w:cs="Calibri" w:eastAsia="Calibri" w:hAnsi="Calibri"/>
                <w:b/>
                <w:bCs/>
                <w:caps/>
                <w:color w:val="00897B"/>
                <w:sz w:val="10"/>
                <w:szCs w:val="10"/>
              </w:rPr>
              <w:t xml:space="preserve">   Phase 4</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farmers lose buyer enquiries in notebooks; no trusted record of who delivered on their word</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offline contact book, deal pipeline, and a shareable produce profile with ratings</w:t>
            </w:r>
          </w:p>
        </w:tc>
      </w:tr>
    </w:tbl>
    <w:p>
      <w:pPr>
        <w:spacing w:after="40"/>
      </w:pPr>
    </w:p>
    <w:tbl>
      <w:tblPr>
        <w:tblW w:type="dxa" w:w="9720"/>
        <w:tblBorders>
          <w:top w:val="single" w:color="D5DDD5" w:sz="4"/>
          <w:left w:val="single" w:color="00897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Ecommerce Marketplace</w:t>
            </w:r>
            <w:r>
              <w:rPr>
                <w:rFonts w:ascii="Calibri" w:cs="Calibri" w:eastAsia="Calibri" w:hAnsi="Calibri"/>
                <w:b/>
                <w:bCs/>
                <w:caps/>
                <w:color w:val="00897B"/>
                <w:sz w:val="10"/>
                <w:szCs w:val="10"/>
              </w:rPr>
              <w:t xml:space="preserve">   Phase 4</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high input prices, few suppliers, and counterfeit seed with no way to compare offers</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verified-seller catalogue, escrow voucher redemption, equipment-as-a-service booking</w:t>
            </w:r>
          </w:p>
        </w:tc>
      </w:tr>
    </w:tbl>
    <w:p>
      <w:pPr>
        <w:spacing w:after="40"/>
      </w:pPr>
    </w:p>
    <w:tbl>
      <w:tblPr>
        <w:tblW w:type="dxa" w:w="9720"/>
        <w:tblBorders>
          <w:top w:val="single" w:color="D5DDD5" w:sz="4"/>
          <w:left w:val="single" w:color="6B7A6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Advisor Desk</w:t>
            </w:r>
            <w:r>
              <w:rPr>
                <w:rFonts w:ascii="Calibri" w:cs="Calibri" w:eastAsia="Calibri" w:hAnsi="Calibri"/>
                <w:b/>
                <w:bCs/>
                <w:caps/>
                <w:color w:val="6B7A6B"/>
                <w:sz w:val="10"/>
                <w:szCs w:val="10"/>
              </w:rPr>
              <w:t xml:space="preserve">   Cross-Cutting</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one advisor can’t visit every farm and has no way to see which crops are stressed</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crop-stress caseload dashboard, escalation queue, and a paid advice marketplace</w:t>
            </w:r>
          </w:p>
        </w:tc>
      </w:tr>
    </w:tbl>
    <w:p>
      <w:pPr>
        <w:spacing w:after="40"/>
      </w:pPr>
    </w:p>
    <w:tbl>
      <w:tblPr>
        <w:tblW w:type="dxa" w:w="9720"/>
        <w:tblBorders>
          <w:top w:val="single" w:color="D5DDD5" w:sz="4"/>
          <w:left w:val="single" w:color="6B7A6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Agent Console</w:t>
            </w:r>
            <w:r>
              <w:rPr>
                <w:rFonts w:ascii="Calibri" w:cs="Calibri" w:eastAsia="Calibri" w:hAnsi="Calibri"/>
                <w:b/>
                <w:bCs/>
                <w:caps/>
                <w:color w:val="6B7A6B"/>
                <w:sz w:val="10"/>
                <w:szCs w:val="10"/>
              </w:rPr>
              <w:t xml:space="preserve">   Cross-Cutting</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agents lose track of farmers, dispute commissions, and carry risky cash</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client roster, automatic commission engine paid via escrow, ghost-farmer fraud detection</w:t>
            </w:r>
          </w:p>
        </w:tc>
      </w:tr>
    </w:tbl>
    <w:p>
      <w:pPr>
        <w:spacing w:after="40"/>
      </w:pPr>
    </w:p>
    <w:tbl>
      <w:tblPr>
        <w:tblW w:type="dxa" w:w="9720"/>
        <w:tblBorders>
          <w:top w:val="single" w:color="D5DDD5" w:sz="4"/>
          <w:left w:val="single" w:color="6B7A6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Service Provider Portal</w:t>
            </w:r>
            <w:r>
              <w:rPr>
                <w:rFonts w:ascii="Calibri" w:cs="Calibri" w:eastAsia="Calibri" w:hAnsi="Calibri"/>
                <w:b/>
                <w:bCs/>
                <w:caps/>
                <w:color w:val="6B7A6B"/>
                <w:sz w:val="10"/>
                <w:szCs w:val="10"/>
              </w:rPr>
              <w:t xml:space="preserve">   Cross-Cutting</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suppliers get delayed collections and no visibility of demand; equipment sits idle</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demand insights by district, escrow-backed payment, equipment-as-a-service booking</w:t>
            </w:r>
          </w:p>
        </w:tc>
      </w:tr>
    </w:tbl>
    <w:p>
      <w:pPr>
        <w:spacing w:after="40"/>
      </w:pPr>
    </w:p>
    <w:tbl>
      <w:tblPr>
        <w:tblW w:type="dxa" w:w="9720"/>
        <w:tblBorders>
          <w:top w:val="single" w:color="D5DDD5" w:sz="4"/>
          <w:left w:val="single" w:color="6B7A6B" w:sz="20"/>
          <w:bottom w:val="single" w:color="D5DDD5" w:sz="4"/>
          <w:right w:val="single" w:color="D5DDD5" w:sz="4"/>
          <w:insideH w:val="single" w:color="auto" w:sz="4"/>
          <w:insideV w:val="single" w:color="auto" w:sz="4"/>
        </w:tblBorders>
      </w:tblPr>
      <w:tblGrid>
        <w:gridCol w:w="9720"/>
      </w:tblGrid>
      <w:tr>
        <w:tc>
          <w:tcPr>
            <w:tcW w:type="dxa" w:w="9720"/>
            <w:tcMar>
              <w:top w:type="dxa" w:w="55"/>
              <w:left w:type="dxa" w:w="140"/>
              <w:bottom w:type="dxa" w:w="55"/>
              <w:right w:type="dxa" w:w="140"/>
            </w:tcMar>
          </w:tcPr>
          <w:p>
            <w:pPr>
              <w:spacing w:after="15"/>
            </w:pPr>
            <w:r>
              <w:rPr>
                <w:rFonts w:ascii="Calibri" w:cs="Calibri" w:eastAsia="Calibri" w:hAnsi="Calibri"/>
                <w:b/>
                <w:bCs/>
                <w:color w:val="1B3A1B"/>
                <w:sz w:val="14"/>
                <w:szCs w:val="14"/>
              </w:rPr>
              <w:t xml:space="preserve">Government &amp; Policy Insights</w:t>
            </w:r>
            <w:r>
              <w:rPr>
                <w:rFonts w:ascii="Calibri" w:cs="Calibri" w:eastAsia="Calibri" w:hAnsi="Calibri"/>
                <w:b/>
                <w:bCs/>
                <w:caps/>
                <w:color w:val="6B7A6B"/>
                <w:sz w:val="10"/>
                <w:szCs w:val="10"/>
              </w:rPr>
              <w:t xml:space="preserve">   Cross-Cutting</w:t>
            </w:r>
          </w:p>
          <w:p>
            <w:pPr>
              <w:spacing w:after="8"/>
            </w:pPr>
            <w:r>
              <w:rPr>
                <w:rFonts w:ascii="Calibri" w:cs="Calibri" w:eastAsia="Calibri" w:hAnsi="Calibri"/>
                <w:b/>
                <w:bCs/>
                <w:color w:val="C62828"/>
                <w:sz w:val="11"/>
                <w:szCs w:val="11"/>
              </w:rPr>
              <w:t xml:space="preserve">Problem: </w:t>
            </w:r>
            <w:r>
              <w:rPr>
                <w:rFonts w:ascii="Calibri" w:cs="Calibri" w:eastAsia="Calibri" w:hAnsi="Calibri"/>
                <w:color w:val="5D7B5D"/>
                <w:sz w:val="11"/>
                <w:szCs w:val="11"/>
              </w:rPr>
              <w:t xml:space="preserve">no timely production stats, levy leakage, and late warning of drought or pest outbreaks</w:t>
            </w:r>
          </w:p>
          <w:p>
            <w:r>
              <w:rPr>
                <w:rFonts w:ascii="Calibri" w:cs="Calibri" w:eastAsia="Calibri" w:hAnsi="Calibri"/>
                <w:b/>
                <w:bCs/>
                <w:color w:val="2E7D32"/>
                <w:sz w:val="11"/>
                <w:szCs w:val="11"/>
              </w:rPr>
              <w:t xml:space="preserve">Fix: </w:t>
            </w:r>
            <w:r>
              <w:rPr>
                <w:rFonts w:ascii="Calibri" w:cs="Calibri" w:eastAsia="Calibri" w:hAnsi="Calibri"/>
                <w:color w:val="5D7B5D"/>
                <w:sz w:val="11"/>
                <w:szCs w:val="11"/>
              </w:rPr>
              <w:t xml:space="preserve">live aggregated dashboards, early-warning maps, targeted delivery — privacy-safe by design</w:t>
            </w:r>
          </w:p>
        </w:tc>
      </w:tr>
    </w:tbl>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03 — THE PLATFORM &amp; ROADMAP</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One architecture, four phases</w:t>
      </w:r>
    </w:p>
    <w:p>
      <w:pPr>
        <w:spacing w:after="120"/>
      </w:pPr>
      <w:r>
        <w:rPr>
          <w:rFonts w:ascii="Calibri" w:cs="Calibri" w:eastAsia="Calibri" w:hAnsi="Calibri"/>
          <w:i/>
          <w:iCs/>
          <w:color w:val="5D7B5D"/>
          <w:sz w:val="14"/>
          <w:szCs w:val="14"/>
        </w:rPr>
        <w:t xml:space="preserve">Reused by configuration — not rebuilt — from tobacco to horticulture. Each phase must deliver value on its own; the next phase starts only when its gate is met.</w:t>
      </w:r>
    </w:p>
    <w:tbl>
      <w:tblPr>
        <w:tblW w:type="dxa" w:w="9720"/>
        <w:tblBorders>
          <w:top w:val="single" w:color="D5DDD5" w:sz="4"/>
          <w:left w:val="single" w:color="2E7D32" w:sz="26"/>
          <w:bottom w:val="single" w:color="D5DDD5" w:sz="4"/>
          <w:right w:val="single" w:color="D5DDD5" w:sz="4"/>
          <w:insideH w:val="single" w:color="auto" w:sz="4"/>
          <w:insideV w:val="single" w:color="auto" w:sz="4"/>
        </w:tblBorders>
      </w:tblPr>
      <w:tblGrid>
        <w:gridCol w:w="9720"/>
      </w:tblGrid>
      <w:tr>
        <w:tc>
          <w:tcPr>
            <w:tcW w:type="dxa" w:w="9720"/>
            <w:tcMar>
              <w:top w:type="dxa" w:w="80"/>
              <w:left w:type="dxa" w:w="150"/>
              <w:bottom w:type="dxa" w:w="80"/>
              <w:right w:type="dxa" w:w="150"/>
            </w:tcMar>
          </w:tcPr>
          <w:p>
            <w:pPr>
              <w:spacing w:after="20"/>
            </w:pPr>
            <w:r>
              <w:rPr>
                <w:rFonts w:ascii="Calibri" w:cs="Calibri" w:eastAsia="Calibri" w:hAnsi="Calibri"/>
                <w:b/>
                <w:bCs/>
                <w:caps/>
                <w:color w:val="2E7D32"/>
                <w:sz w:val="13"/>
                <w:szCs w:val="13"/>
              </w:rPr>
              <w:t xml:space="preserve">PHASE 1   </w:t>
            </w:r>
            <w:r>
              <w:rPr>
                <w:rFonts w:ascii="Calibri" w:cs="Calibri" w:eastAsia="Calibri" w:hAnsi="Calibri"/>
                <w:b/>
                <w:bCs/>
                <w:color w:val="1B3A1B"/>
                <w:sz w:val="16"/>
                <w:szCs w:val="16"/>
              </w:rPr>
              <w:t xml:space="preserve">Standalone Farmer Tools</w:t>
            </w:r>
          </w:p>
          <w:p>
            <w:pPr>
              <w:spacing w:after="15"/>
            </w:pPr>
            <w:r>
              <w:rPr>
                <w:rFonts w:ascii="Calibri" w:cs="Calibri" w:eastAsia="Calibri" w:hAnsi="Calibri"/>
                <w:color w:val="1B3A1B"/>
                <w:sz w:val="13"/>
                <w:szCs w:val="13"/>
              </w:rPr>
              <w:t xml:space="preserve">Bankable Feasibility &amp; Offtake Agreements   ·   Agronomy — Snap &amp; Solve Diagnostics   ·   Accounting &amp; Digital Ledger</w:t>
            </w:r>
          </w:p>
          <w:p>
            <w:r>
              <w:rPr>
                <w:rFonts w:ascii="Calibri" w:cs="Calibri" w:eastAsia="Calibri" w:hAnsi="Calibri"/>
                <w:i/>
                <w:iCs/>
                <w:color w:val="5D7B5D"/>
                <w:sz w:val="11"/>
                <w:szCs w:val="11"/>
              </w:rPr>
              <w:t xml:space="preserve">Gate: farmers activate &amp; keep using the app; feasibility plans accepted by a lender or contractor</w:t>
            </w:r>
          </w:p>
        </w:tc>
      </w:tr>
    </w:tbl>
    <w:p>
      <w:pPr>
        <w:spacing w:after="60"/>
      </w:pPr>
    </w:p>
    <w:tbl>
      <w:tblPr>
        <w:tblW w:type="dxa" w:w="9720"/>
        <w:tblBorders>
          <w:top w:val="single" w:color="D5DDD5" w:sz="4"/>
          <w:left w:val="single" w:color="7A5200" w:sz="26"/>
          <w:bottom w:val="single" w:color="D5DDD5" w:sz="4"/>
          <w:right w:val="single" w:color="D5DDD5" w:sz="4"/>
          <w:insideH w:val="single" w:color="auto" w:sz="4"/>
          <w:insideV w:val="single" w:color="auto" w:sz="4"/>
        </w:tblBorders>
      </w:tblPr>
      <w:tblGrid>
        <w:gridCol w:w="9720"/>
      </w:tblGrid>
      <w:tr>
        <w:tc>
          <w:tcPr>
            <w:tcW w:type="dxa" w:w="9720"/>
            <w:tcMar>
              <w:top w:type="dxa" w:w="80"/>
              <w:left w:type="dxa" w:w="150"/>
              <w:bottom w:type="dxa" w:w="80"/>
              <w:right w:type="dxa" w:w="150"/>
            </w:tcMar>
          </w:tcPr>
          <w:p>
            <w:pPr>
              <w:spacing w:after="20"/>
            </w:pPr>
            <w:r>
              <w:rPr>
                <w:rFonts w:ascii="Calibri" w:cs="Calibri" w:eastAsia="Calibri" w:hAnsi="Calibri"/>
                <w:b/>
                <w:bCs/>
                <w:caps/>
                <w:color w:val="7A5200"/>
                <w:sz w:val="13"/>
                <w:szCs w:val="13"/>
              </w:rPr>
              <w:t xml:space="preserve">PHASE 2   </w:t>
            </w:r>
            <w:r>
              <w:rPr>
                <w:rFonts w:ascii="Calibri" w:cs="Calibri" w:eastAsia="Calibri" w:hAnsi="Calibri"/>
                <w:b/>
                <w:bCs/>
                <w:color w:val="1B3A1B"/>
                <w:sz w:val="16"/>
                <w:szCs w:val="16"/>
              </w:rPr>
              <w:t xml:space="preserve">Regulatory &amp; Compliance Gateways</w:t>
            </w:r>
          </w:p>
          <w:p>
            <w:pPr>
              <w:spacing w:after="15"/>
            </w:pPr>
            <w:r>
              <w:rPr>
                <w:rFonts w:ascii="Calibri" w:cs="Calibri" w:eastAsia="Calibri" w:hAnsi="Calibri"/>
                <w:color w:val="1B3A1B"/>
                <w:sz w:val="13"/>
                <w:szCs w:val="13"/>
              </w:rPr>
              <w:t xml:space="preserve">TIMB Biometric Registry Sync   ·   Statutory Levy &amp; Environmental Compliance</w:t>
            </w:r>
          </w:p>
          <w:p>
            <w:r>
              <w:rPr>
                <w:rFonts w:ascii="Calibri" w:cs="Calibri" w:eastAsia="Calibri" w:hAnsi="Calibri"/>
                <w:i/>
                <w:iCs/>
                <w:color w:val="5D7B5D"/>
                <w:sz w:val="11"/>
                <w:szCs w:val="11"/>
              </w:rPr>
              <w:t xml:space="preserve">Gate: signed MoU &amp; working TIMB integration; data-protection licence obtained</w:t>
            </w:r>
          </w:p>
        </w:tc>
      </w:tr>
    </w:tbl>
    <w:p>
      <w:pPr>
        <w:spacing w:after="60"/>
      </w:pPr>
    </w:p>
    <w:tbl>
      <w:tblPr>
        <w:tblW w:type="dxa" w:w="9720"/>
        <w:tblBorders>
          <w:top w:val="single" w:color="D5DDD5" w:sz="4"/>
          <w:left w:val="single" w:color="5C6BC0" w:sz="26"/>
          <w:bottom w:val="single" w:color="D5DDD5" w:sz="4"/>
          <w:right w:val="single" w:color="D5DDD5" w:sz="4"/>
          <w:insideH w:val="single" w:color="auto" w:sz="4"/>
          <w:insideV w:val="single" w:color="auto" w:sz="4"/>
        </w:tblBorders>
      </w:tblPr>
      <w:tblGrid>
        <w:gridCol w:w="9720"/>
      </w:tblGrid>
      <w:tr>
        <w:tc>
          <w:tcPr>
            <w:tcW w:type="dxa" w:w="9720"/>
            <w:tcMar>
              <w:top w:type="dxa" w:w="80"/>
              <w:left w:type="dxa" w:w="150"/>
              <w:bottom w:type="dxa" w:w="80"/>
              <w:right w:type="dxa" w:w="150"/>
            </w:tcMar>
          </w:tcPr>
          <w:p>
            <w:pPr>
              <w:spacing w:after="20"/>
            </w:pPr>
            <w:r>
              <w:rPr>
                <w:rFonts w:ascii="Calibri" w:cs="Calibri" w:eastAsia="Calibri" w:hAnsi="Calibri"/>
                <w:b/>
                <w:bCs/>
                <w:caps/>
                <w:color w:val="5C6BC0"/>
                <w:sz w:val="13"/>
                <w:szCs w:val="13"/>
              </w:rPr>
              <w:t xml:space="preserve">PHASE 3   </w:t>
            </w:r>
            <w:r>
              <w:rPr>
                <w:rFonts w:ascii="Calibri" w:cs="Calibri" w:eastAsia="Calibri" w:hAnsi="Calibri"/>
                <w:b/>
                <w:bCs/>
                <w:color w:val="1B3A1B"/>
                <w:sz w:val="16"/>
                <w:szCs w:val="16"/>
              </w:rPr>
              <w:t xml:space="preserve">Decentralised Logistics &amp; Escrow Engine</w:t>
            </w:r>
          </w:p>
          <w:p>
            <w:pPr>
              <w:spacing w:after="15"/>
            </w:pPr>
            <w:r>
              <w:rPr>
                <w:rFonts w:ascii="Calibri" w:cs="Calibri" w:eastAsia="Calibri" w:hAnsi="Calibri"/>
                <w:color w:val="1B3A1B"/>
                <w:sz w:val="13"/>
                <w:szCs w:val="13"/>
              </w:rPr>
              <w:t xml:space="preserve">Freight Matching &amp; Escrow Settlement   ·   Refrigeration &amp; Storage</w:t>
            </w:r>
          </w:p>
          <w:p>
            <w:r>
              <w:rPr>
                <w:rFonts w:ascii="Calibri" w:cs="Calibri" w:eastAsia="Calibri" w:hAnsi="Calibri"/>
                <w:i/>
                <w:iCs/>
                <w:color w:val="5D7B5D"/>
                <w:sz w:val="11"/>
                <w:szCs w:val="11"/>
              </w:rPr>
              <w:t xml:space="preserve">Gate: transporters paid on delivery confirmation within target time; low dispute rate</w:t>
            </w:r>
          </w:p>
        </w:tc>
      </w:tr>
    </w:tbl>
    <w:p>
      <w:pPr>
        <w:spacing w:after="60"/>
      </w:pPr>
    </w:p>
    <w:tbl>
      <w:tblPr>
        <w:tblW w:type="dxa" w:w="9720"/>
        <w:tblBorders>
          <w:top w:val="single" w:color="D5DDD5" w:sz="4"/>
          <w:left w:val="single" w:color="00897B" w:sz="26"/>
          <w:bottom w:val="single" w:color="D5DDD5" w:sz="4"/>
          <w:right w:val="single" w:color="D5DDD5" w:sz="4"/>
          <w:insideH w:val="single" w:color="auto" w:sz="4"/>
          <w:insideV w:val="single" w:color="auto" w:sz="4"/>
        </w:tblBorders>
      </w:tblPr>
      <w:tblGrid>
        <w:gridCol w:w="9720"/>
      </w:tblGrid>
      <w:tr>
        <w:tc>
          <w:tcPr>
            <w:tcW w:type="dxa" w:w="9720"/>
            <w:tcMar>
              <w:top w:type="dxa" w:w="80"/>
              <w:left w:type="dxa" w:w="150"/>
              <w:bottom w:type="dxa" w:w="80"/>
              <w:right w:type="dxa" w:w="150"/>
            </w:tcMar>
          </w:tcPr>
          <w:p>
            <w:pPr>
              <w:spacing w:after="20"/>
            </w:pPr>
            <w:r>
              <w:rPr>
                <w:rFonts w:ascii="Calibri" w:cs="Calibri" w:eastAsia="Calibri" w:hAnsi="Calibri"/>
                <w:b/>
                <w:bCs/>
                <w:caps/>
                <w:color w:val="00897B"/>
                <w:sz w:val="13"/>
                <w:szCs w:val="13"/>
              </w:rPr>
              <w:t xml:space="preserve">PHASE 4   </w:t>
            </w:r>
            <w:r>
              <w:rPr>
                <w:rFonts w:ascii="Calibri" w:cs="Calibri" w:eastAsia="Calibri" w:hAnsi="Calibri"/>
                <w:b/>
                <w:bCs/>
                <w:color w:val="1B3A1B"/>
                <w:sz w:val="16"/>
                <w:szCs w:val="16"/>
              </w:rPr>
              <w:t xml:space="preserve">Offtakers &amp; Retailers</w:t>
            </w:r>
          </w:p>
          <w:p>
            <w:pPr>
              <w:spacing w:after="15"/>
            </w:pPr>
            <w:r>
              <w:rPr>
                <w:rFonts w:ascii="Calibri" w:cs="Calibri" w:eastAsia="Calibri" w:hAnsi="Calibri"/>
                <w:color w:val="1B3A1B"/>
                <w:sz w:val="13"/>
                <w:szCs w:val="13"/>
              </w:rPr>
              <w:t xml:space="preserve">Consumer, Retailer &amp; Offtaker Integration   ·   Tobacco Auction Floors &amp; Commodity Exchange   ·   Marketing &amp; CRM   ·   Ecommerce Marketplace</w:t>
            </w:r>
          </w:p>
          <w:p>
            <w:r>
              <w:rPr>
                <w:rFonts w:ascii="Calibri" w:cs="Calibri" w:eastAsia="Calibri" w:hAnsi="Calibri"/>
                <w:i/>
                <w:iCs/>
                <w:color w:val="5D7B5D"/>
                <w:sz w:val="11"/>
                <w:szCs w:val="11"/>
              </w:rPr>
              <w:t xml:space="preserve">Gate: forward contracts signed and repaid through the waterfall in the pilot cluster</w:t>
            </w:r>
          </w:p>
        </w:tc>
      </w:tr>
    </w:tbl>
    <w:p>
      <w:pPr>
        <w:spacing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shd w:fill="1B2E1B" w:val="clear"/>
            <w:tcMar>
              <w:top w:type="dxa" w:w="130"/>
              <w:left w:type="dxa" w:w="190"/>
              <w:bottom w:type="dxa" w:w="130"/>
              <w:right w:type="dxa" w:w="190"/>
            </w:tcMar>
          </w:tcPr>
          <w:p>
            <w:pPr>
              <w:spacing w:after="40"/>
            </w:pPr>
            <w:r>
              <w:rPr>
                <w:rFonts w:ascii="Calibri" w:cs="Calibri" w:eastAsia="Calibri" w:hAnsi="Calibri"/>
                <w:b/>
                <w:bCs/>
                <w:color w:val="FFFFFF"/>
                <w:sz w:val="16"/>
                <w:szCs w:val="16"/>
              </w:rPr>
              <w:t xml:space="preserve">Already in Active Build   </w:t>
            </w:r>
            <w:r>
              <w:rPr>
                <w:rFonts w:ascii="Calibri" w:cs="Calibri" w:eastAsia="Calibri" w:hAnsi="Calibri"/>
                <w:i/>
                <w:iCs/>
                <w:color w:val="A5C9A5"/>
                <w:sz w:val="12"/>
                <w:szCs w:val="12"/>
              </w:rPr>
              <w:t xml:space="preserve">26 modules already built and running today — the technical foundation Phase 1 builds on</w:t>
            </w:r>
          </w:p>
          <w:p>
            <w:r>
              <w:rPr>
                <w:rFonts w:ascii="Calibri" w:cs="Calibri" w:eastAsia="Calibri" w:hAnsi="Calibri"/>
                <w:color w:val="E8F5E9"/>
                <w:sz w:val="12"/>
                <w:szCs w:val="12"/>
              </w:rPr>
              <w:t xml:space="preserve">Farm &amp; Field Records · Micro-Financing &amp; Loans · Marketplace · Expert Advisory Chat · Veterinary Services · Savings &amp; Groups · Farming Contracts · Group Buying &amp; Inputs · Crop Diagnosis · Traceability · Labor Management · Market Prices &amp; Weather · Role-Based Access (6 roles) · +12 more</w:t>
            </w:r>
          </w:p>
        </w:tc>
      </w:tr>
    </w:tbl>
    <w:p>
      <w:pPr>
        <w:spacing w:after="0"/>
      </w:pPr>
      <w:r>
        <w:rPr>
          <w:rFonts w:ascii="Calibri" w:cs="Calibri" w:eastAsia="Calibri" w:hAnsi="Calibri"/>
          <w:i/>
          <w:iCs/>
          <w:color w:val="5D7B5D"/>
          <w:sz w:val="11"/>
          <w:szCs w:val="11"/>
        </w:rPr>
        <w:t xml:space="preserve">Product note: competitive scan shows global advisory apps now ship spray-decision engines, growing-degree-day tracking, honest AI-confidence framing with automatic human-agronomist escalation, and proactive (not just on-demand) alerts — exactly what the BRD already specifies for Crop Diagnosis (FR7.6) and the Advisor Desk (FR20.6). Weather and Crop Diagnosis should hit that same bar before Phase 1 exits pilot.</w:t>
      </w:r>
    </w:p>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BUILD PRIORITY</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What order — tiers, not just phases</w:t>
      </w:r>
    </w:p>
    <w:p>
      <w:pPr>
        <w:spacing w:after="110"/>
      </w:pPr>
      <w:r>
        <w:rPr>
          <w:rFonts w:ascii="Calibri" w:cs="Calibri" w:eastAsia="Calibri" w:hAnsi="Calibri"/>
          <w:color w:val="5D7B5D"/>
          <w:sz w:val="13"/>
          <w:szCs w:val="13"/>
        </w:rPr>
        <w:t xml:space="preserve">Phases say which quarter a module ships. This answers a sharper question: inside Phase 1, what gets scarce engineering attention first, and what gets built to parity and left alone.</w:t>
      </w:r>
    </w:p>
    <w:tbl>
      <w:tblPr>
        <w:tblW w:type="dxa" w:w="9720"/>
        <w:tblBorders>
          <w:top w:val="single" w:color="D5DDD5" w:sz="4"/>
          <w:left w:val="single" w:color="6B7A6B" w:sz="26"/>
          <w:bottom w:val="single" w:color="D5DDD5" w:sz="4"/>
          <w:right w:val="single" w:color="D5DDD5" w:sz="4"/>
          <w:insideH w:val="single" w:color="auto" w:sz="4"/>
          <w:insideV w:val="single" w:color="auto" w:sz="4"/>
        </w:tblBorders>
      </w:tblPr>
      <w:tblGrid>
        <w:gridCol w:w="9720"/>
      </w:tblGrid>
      <w:tr>
        <w:tc>
          <w:tcPr>
            <w:tcW w:type="dxa" w:w="9720"/>
            <w:tcMar>
              <w:top w:type="dxa" w:w="65"/>
              <w:left w:type="dxa" w:w="150"/>
              <w:bottom w:type="dxa" w:w="65"/>
              <w:right w:type="dxa" w:w="150"/>
            </w:tcMar>
          </w:tcPr>
          <w:p>
            <w:pPr>
              <w:spacing w:after="15"/>
            </w:pPr>
            <w:r>
              <w:rPr>
                <w:rFonts w:ascii="Calibri" w:cs="Calibri" w:eastAsia="Calibri" w:hAnsi="Calibri"/>
                <w:b/>
                <w:bCs/>
                <w:caps/>
                <w:color w:val="6B7A6B"/>
                <w:sz w:val="12"/>
                <w:szCs w:val="12"/>
              </w:rPr>
              <w:t xml:space="preserve">TIER 0   </w:t>
            </w:r>
            <w:r>
              <w:rPr>
                <w:rFonts w:ascii="Calibri" w:cs="Calibri" w:eastAsia="Calibri" w:hAnsi="Calibri"/>
                <w:b/>
                <w:bCs/>
                <w:color w:val="1B3A1B"/>
                <w:sz w:val="15"/>
                <w:szCs w:val="15"/>
              </w:rPr>
              <w:t xml:space="preserve">Foundational — nothing else works without these</w:t>
            </w:r>
          </w:p>
          <w:p>
            <w:pPr>
              <w:spacing w:after="12"/>
            </w:pPr>
            <w:r>
              <w:rPr>
                <w:rFonts w:ascii="Calibri" w:cs="Calibri" w:eastAsia="Calibri" w:hAnsi="Calibri"/>
                <w:color w:val="1B3A1B"/>
                <w:sz w:val="11"/>
                <w:szCs w:val="11"/>
              </w:rPr>
              <w:t xml:space="preserve">Offline-first data layer &amp; GPS plot capture (FR1.1)   ·   Core identity, Level 0–1 (FR15.1–15.3)   ·   Core digital ledger (FR8.1–8.4)</w:t>
            </w:r>
          </w:p>
          <w:p>
            <w:r>
              <w:rPr>
                <w:rFonts w:ascii="Calibri" w:cs="Calibri" w:eastAsia="Calibri" w:hAnsi="Calibri"/>
                <w:i/>
                <w:iCs/>
                <w:color w:val="5D7B5D"/>
                <w:sz w:val="10"/>
                <w:szCs w:val="10"/>
              </w:rPr>
              <w:t xml:space="preserve">The substrate every other tier writes to — build first regardless of moat status.</w:t>
            </w:r>
          </w:p>
        </w:tc>
      </w:tr>
    </w:tbl>
    <w:p>
      <w:pPr>
        <w:spacing w:after="55"/>
      </w:pPr>
    </w:p>
    <w:tbl>
      <w:tblPr>
        <w:tblW w:type="dxa" w:w="9720"/>
        <w:tblBorders>
          <w:top w:val="single" w:color="D5DDD5" w:sz="4"/>
          <w:left w:val="single" w:color="2E7D32" w:sz="26"/>
          <w:bottom w:val="single" w:color="D5DDD5" w:sz="4"/>
          <w:right w:val="single" w:color="D5DDD5" w:sz="4"/>
          <w:insideH w:val="single" w:color="auto" w:sz="4"/>
          <w:insideV w:val="single" w:color="auto" w:sz="4"/>
        </w:tblBorders>
      </w:tblPr>
      <w:tblGrid>
        <w:gridCol w:w="9720"/>
      </w:tblGrid>
      <w:tr>
        <w:tc>
          <w:tcPr>
            <w:tcW w:type="dxa" w:w="9720"/>
            <w:tcMar>
              <w:top w:type="dxa" w:w="65"/>
              <w:left w:type="dxa" w:w="150"/>
              <w:bottom w:type="dxa" w:w="65"/>
              <w:right w:type="dxa" w:w="150"/>
            </w:tcMar>
          </w:tcPr>
          <w:p>
            <w:pPr>
              <w:spacing w:after="15"/>
            </w:pPr>
            <w:r>
              <w:rPr>
                <w:rFonts w:ascii="Calibri" w:cs="Calibri" w:eastAsia="Calibri" w:hAnsi="Calibri"/>
                <w:b/>
                <w:bCs/>
                <w:caps/>
                <w:color w:val="2E7D32"/>
                <w:sz w:val="12"/>
                <w:szCs w:val="12"/>
              </w:rPr>
              <w:t xml:space="preserve">TIER 1   </w:t>
            </w:r>
            <w:r>
              <w:rPr>
                <w:rFonts w:ascii="Calibri" w:cs="Calibri" w:eastAsia="Calibri" w:hAnsi="Calibri"/>
                <w:b/>
                <w:bCs/>
                <w:color w:val="1B3A1B"/>
                <w:sz w:val="15"/>
                <w:szCs w:val="15"/>
              </w:rPr>
              <w:t xml:space="preserve">The Moat — build to excellence, not just spec</w:t>
            </w:r>
          </w:p>
          <w:p>
            <w:pPr>
              <w:spacing w:after="12"/>
            </w:pPr>
            <w:r>
              <w:rPr>
                <w:rFonts w:ascii="Calibri" w:cs="Calibri" w:eastAsia="Calibri" w:hAnsi="Calibri"/>
                <w:color w:val="1B3A1B"/>
                <w:sz w:val="11"/>
                <w:szCs w:val="11"/>
              </w:rPr>
              <w:t xml:space="preserve">Bankable feasibility generation (FR1.1–17)   ·   TIMB biometric sync &amp; side-marketing flags (FR2.1–4, 2.11)   ·   Input escrow &amp; settlement waterfall (FR8.8–16)   ·   Workspace Engine core, multi-role from day one (FR9.1–5)</w:t>
            </w:r>
          </w:p>
          <w:p>
            <w:r>
              <w:rPr>
                <w:rFonts w:ascii="Calibri" w:cs="Calibri" w:eastAsia="Calibri" w:hAnsi="Calibri"/>
                <w:i/>
                <w:iCs/>
                <w:color w:val="5D7B5D"/>
                <w:sz w:val="10"/>
                <w:szCs w:val="10"/>
              </w:rPr>
              <w:t xml:space="preserve">The only four things on this list a well-funded competitor cannot copy in six months. The TIMB MoU clock, not the code, is the real constraint — start that conversation now.</w:t>
            </w:r>
          </w:p>
        </w:tc>
      </w:tr>
    </w:tbl>
    <w:p>
      <w:pPr>
        <w:spacing w:after="55"/>
      </w:pPr>
    </w:p>
    <w:tbl>
      <w:tblPr>
        <w:tblW w:type="dxa" w:w="9720"/>
        <w:tblBorders>
          <w:top w:val="single" w:color="D5DDD5" w:sz="4"/>
          <w:left w:val="single" w:color="7A5200" w:sz="26"/>
          <w:bottom w:val="single" w:color="D5DDD5" w:sz="4"/>
          <w:right w:val="single" w:color="D5DDD5" w:sz="4"/>
          <w:insideH w:val="single" w:color="auto" w:sz="4"/>
          <w:insideV w:val="single" w:color="auto" w:sz="4"/>
        </w:tblBorders>
      </w:tblPr>
      <w:tblGrid>
        <w:gridCol w:w="9720"/>
      </w:tblGrid>
      <w:tr>
        <w:tc>
          <w:tcPr>
            <w:tcW w:type="dxa" w:w="9720"/>
            <w:tcMar>
              <w:top w:type="dxa" w:w="65"/>
              <w:left w:type="dxa" w:w="150"/>
              <w:bottom w:type="dxa" w:w="65"/>
              <w:right w:type="dxa" w:w="150"/>
            </w:tcMar>
          </w:tcPr>
          <w:p>
            <w:pPr>
              <w:spacing w:after="15"/>
            </w:pPr>
            <w:r>
              <w:rPr>
                <w:rFonts w:ascii="Calibri" w:cs="Calibri" w:eastAsia="Calibri" w:hAnsi="Calibri"/>
                <w:b/>
                <w:bCs/>
                <w:caps/>
                <w:color w:val="7A5200"/>
                <w:sz w:val="12"/>
                <w:szCs w:val="12"/>
              </w:rPr>
              <w:t xml:space="preserve">TIER 2   </w:t>
            </w:r>
            <w:r>
              <w:rPr>
                <w:rFonts w:ascii="Calibri" w:cs="Calibri" w:eastAsia="Calibri" w:hAnsi="Calibri"/>
                <w:b/>
                <w:bCs/>
                <w:color w:val="1B3A1B"/>
                <w:sz w:val="15"/>
                <w:szCs w:val="15"/>
              </w:rPr>
              <w:t xml:space="preserve">Build to Parity Only — match the bar, stop there</w:t>
            </w:r>
          </w:p>
          <w:p>
            <w:pPr>
              <w:spacing w:after="12"/>
            </w:pPr>
            <w:r>
              <w:rPr>
                <w:rFonts w:ascii="Calibri" w:cs="Calibri" w:eastAsia="Calibri" w:hAnsi="Calibri"/>
                <w:color w:val="1B3A1B"/>
                <w:sz w:val="11"/>
                <w:szCs w:val="11"/>
              </w:rPr>
              <w:t xml:space="preserve">Crop diagnosis, confidence score + human escalation (FR7.3–6)   ·   Basic weather &amp; crop-calendar prompts (FR7.2, 7.9)   ·   Statutory levy automation (FR2.5, 2.15)</w:t>
            </w:r>
          </w:p>
          <w:p>
            <w:r>
              <w:rPr>
                <w:rFonts w:ascii="Calibri" w:cs="Calibri" w:eastAsia="Calibri" w:hAnsi="Calibri"/>
                <w:i/>
                <w:iCs/>
                <w:color w:val="5D7B5D"/>
                <w:sz w:val="10"/>
                <w:szCs w:val="10"/>
              </w:rPr>
              <w:t xml:space="preserve">Resolves a tension in the BRD itself: diagnosis is marked “nice to have, post-pilot” in the feature-priority list, yet the Cluster-Zero onboarding script uses it as the Day-1 hook. Both are right — build it minimally for onboarding, don’t invest further. Agri AI already clears this bar for free.</w:t>
            </w:r>
          </w:p>
        </w:tc>
      </w:tr>
    </w:tbl>
    <w:p>
      <w:pPr>
        <w:spacing w:after="55"/>
      </w:pPr>
    </w:p>
    <w:tbl>
      <w:tblPr>
        <w:tblW w:type="dxa" w:w="9720"/>
        <w:tblBorders>
          <w:top w:val="single" w:color="D5DDD5" w:sz="4"/>
          <w:left w:val="single" w:color="5C6BC0" w:sz="26"/>
          <w:bottom w:val="single" w:color="D5DDD5" w:sz="4"/>
          <w:right w:val="single" w:color="D5DDD5" w:sz="4"/>
          <w:insideH w:val="single" w:color="auto" w:sz="4"/>
          <w:insideV w:val="single" w:color="auto" w:sz="4"/>
        </w:tblBorders>
      </w:tblPr>
      <w:tblGrid>
        <w:gridCol w:w="9720"/>
      </w:tblGrid>
      <w:tr>
        <w:tc>
          <w:tcPr>
            <w:tcW w:type="dxa" w:w="9720"/>
            <w:tcMar>
              <w:top w:type="dxa" w:w="65"/>
              <w:left w:type="dxa" w:w="150"/>
              <w:bottom w:type="dxa" w:w="65"/>
              <w:right w:type="dxa" w:w="150"/>
            </w:tcMar>
          </w:tcPr>
          <w:p>
            <w:pPr>
              <w:spacing w:after="15"/>
            </w:pPr>
            <w:r>
              <w:rPr>
                <w:rFonts w:ascii="Calibri" w:cs="Calibri" w:eastAsia="Calibri" w:hAnsi="Calibri"/>
                <w:b/>
                <w:bCs/>
                <w:caps/>
                <w:color w:val="5C6BC0"/>
                <w:sz w:val="12"/>
                <w:szCs w:val="12"/>
              </w:rPr>
              <w:t xml:space="preserve">TIER 3   </w:t>
            </w:r>
            <w:r>
              <w:rPr>
                <w:rFonts w:ascii="Calibri" w:cs="Calibri" w:eastAsia="Calibri" w:hAnsi="Calibri"/>
                <w:b/>
                <w:bCs/>
                <w:color w:val="1B3A1B"/>
                <w:sz w:val="15"/>
                <w:szCs w:val="15"/>
              </w:rPr>
              <w:t xml:space="preserve">Sequenced Later — don’t start early</w:t>
            </w:r>
          </w:p>
          <w:p>
            <w:pPr>
              <w:spacing w:after="12"/>
            </w:pPr>
            <w:r>
              <w:rPr>
                <w:rFonts w:ascii="Calibri" w:cs="Calibri" w:eastAsia="Calibri" w:hAnsi="Calibri"/>
                <w:color w:val="1B3A1B"/>
                <w:sz w:val="11"/>
                <w:szCs w:val="11"/>
              </w:rPr>
              <w:t xml:space="preserve">Freight &amp; logistics escrow (Phase 3, explicitly out of pilot scope)   ·   Auction floor digitisation (Phase 4)   ·   Marketing/CRM, ecommerce, consumer marketplace (Phase 4)</w:t>
            </w:r>
          </w:p>
          <w:p>
            <w:r>
              <w:rPr>
                <w:rFonts w:ascii="Calibri" w:cs="Calibri" w:eastAsia="Calibri" w:hAnsi="Calibri"/>
                <w:i/>
                <w:iCs/>
                <w:color w:val="5D7B5D"/>
                <w:sz w:val="10"/>
                <w:szCs w:val="10"/>
              </w:rPr>
              <w:t xml:space="preserve">The BRD’s own roadmap gates these — and flags the consumer marketplace specifically as scope creep to resist.</w:t>
            </w:r>
          </w:p>
        </w:tc>
      </w:tr>
    </w:tbl>
    <w:p>
      <w:pPr>
        <w:spacing w:after="55"/>
      </w:pPr>
    </w:p>
    <w:tbl>
      <w:tblPr>
        <w:tblW w:type="dxa" w:w="9720"/>
        <w:tblBorders>
          <w:top w:val="single" w:color="D5DDD5" w:sz="4"/>
          <w:left w:val="single" w:color="00897B" w:sz="26"/>
          <w:bottom w:val="single" w:color="D5DDD5" w:sz="4"/>
          <w:right w:val="single" w:color="D5DDD5" w:sz="4"/>
          <w:insideH w:val="single" w:color="auto" w:sz="4"/>
          <w:insideV w:val="single" w:color="auto" w:sz="4"/>
        </w:tblBorders>
      </w:tblPr>
      <w:tblGrid>
        <w:gridCol w:w="9720"/>
      </w:tblGrid>
      <w:tr>
        <w:tc>
          <w:tcPr>
            <w:tcW w:type="dxa" w:w="9720"/>
            <w:tcMar>
              <w:top w:type="dxa" w:w="65"/>
              <w:left w:type="dxa" w:w="150"/>
              <w:bottom w:type="dxa" w:w="65"/>
              <w:right w:type="dxa" w:w="150"/>
            </w:tcMar>
          </w:tcPr>
          <w:p>
            <w:pPr>
              <w:spacing w:after="15"/>
            </w:pPr>
            <w:r>
              <w:rPr>
                <w:rFonts w:ascii="Calibri" w:cs="Calibri" w:eastAsia="Calibri" w:hAnsi="Calibri"/>
                <w:b/>
                <w:bCs/>
                <w:caps/>
                <w:color w:val="00897B"/>
                <w:sz w:val="12"/>
                <w:szCs w:val="12"/>
              </w:rPr>
              <w:t xml:space="preserve">TIER 4   </w:t>
            </w:r>
            <w:r>
              <w:rPr>
                <w:rFonts w:ascii="Calibri" w:cs="Calibri" w:eastAsia="Calibri" w:hAnsi="Calibri"/>
                <w:b/>
                <w:bCs/>
                <w:color w:val="1B3A1B"/>
                <w:sz w:val="15"/>
                <w:szCs w:val="15"/>
              </w:rPr>
              <w:t xml:space="preserve">Real Differentiators — only after Tiers 1–2 are proven</w:t>
            </w:r>
          </w:p>
          <w:p>
            <w:pPr>
              <w:spacing w:after="12"/>
            </w:pPr>
            <w:r>
              <w:rPr>
                <w:rFonts w:ascii="Calibri" w:cs="Calibri" w:eastAsia="Calibri" w:hAnsi="Calibri"/>
                <w:color w:val="1B3A1B"/>
                <w:sz w:val="11"/>
                <w:szCs w:val="11"/>
              </w:rPr>
              <w:t xml:space="preserve">Shona &amp; Ndebele voice assistant — no competitor covers either   ·   Spray-timing / GDD weather, farmer community   ·   Satellite / NDVI field-health scouting</w:t>
            </w:r>
          </w:p>
          <w:p>
            <w:r>
              <w:rPr>
                <w:rFonts w:ascii="Calibri" w:cs="Calibri" w:eastAsia="Calibri" w:hAnsi="Calibri"/>
                <w:i/>
                <w:iCs/>
                <w:color w:val="5D7B5D"/>
                <w:sz w:val="10"/>
                <w:szCs w:val="10"/>
              </w:rPr>
              <w:t xml:space="preserve">Worth building — but as a resourcing bet after the moat is proven, not an MVP blocker.</w:t>
            </w:r>
          </w:p>
        </w:tc>
      </w:tr>
    </w:tbl>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GO-TO-MARKET &amp; REVENUE</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Zimbabwe first, through regulators and offtakers — then the region</w:t>
      </w:r>
    </w:p>
    <w:p>
      <w:pPr>
        <w:spacing w:after="120"/>
      </w:pPr>
      <w:r>
        <w:rPr>
          <w:rFonts w:ascii="Calibri" w:cs="Calibri" w:eastAsia="Calibri" w:hAnsi="Calibri"/>
          <w:color w:val="5D7B5D"/>
          <w:sz w:val="14"/>
          <w:szCs w:val="14"/>
        </w:rPr>
        <w:t xml:space="preserve">The Zimbabwe launch wins by entering through the players who control access to farmers (contractors, TIMB, financiers), then reaching communal farmers with tools that work on their own. The farmer pays nothing to start; revenue comes from the parties who gain measurable value.</w:t>
      </w:r>
    </w:p>
    <w:p>
      <w:pPr>
        <w:pStyle w:val="Heading2"/>
        <w:spacing w:after="60" w:before="120"/>
      </w:pPr>
      <w:r>
        <w:rPr>
          <w:rFonts w:ascii="Calibri" w:cs="Calibri" w:eastAsia="Calibri" w:hAnsi="Calibri"/>
          <w:b/>
          <w:bCs/>
          <w:color w:val="1B3A1B"/>
          <w:sz w:val="20"/>
          <w:szCs w:val="20"/>
        </w:rPr>
        <w:t xml:space="preserve">Channels &amp; Segments</w:t>
      </w:r>
    </w:p>
    <w:tbl>
      <w:tblPr>
        <w:tblW w:type="dxa" w:w="9720"/>
        <w:tblBorders>
          <w:top w:val="none"/>
          <w:left w:val="none"/>
          <w:bottom w:val="none"/>
          <w:right w:val="none"/>
          <w:insideH w:val="none"/>
          <w:insideV w:val="none"/>
        </w:tblBorders>
      </w:tblPr>
      <w:tblGrid>
        <w:gridCol w:w="2800"/>
        <w:gridCol w:w="3600"/>
        <w:gridCol w:w="3320"/>
      </w:tblGrid>
      <w:tr>
        <w:trPr>
          <w:tblHeader/>
        </w:trPr>
        <w:tc>
          <w:tcPr>
            <w:tcW w:type="dxa" w:w="28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Segment</w:t>
            </w:r>
          </w:p>
        </w:tc>
        <w:tc>
          <w:tcPr>
            <w:tcW w:type="dxa" w:w="36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Entry Channel</w:t>
            </w:r>
          </w:p>
        </w:tc>
        <w:tc>
          <w:tcPr>
            <w:tcW w:type="dxa" w:w="33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Hook</w:t>
            </w:r>
          </w:p>
        </w:tc>
      </w:tr>
      <w:tr>
        <w:tc>
          <w:tcPr>
            <w:tcW w:type="dxa" w:w="2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Communal &amp; smallholder farmers</w:t>
            </w:r>
          </w:p>
        </w:tc>
        <w:tc>
          <w:tcPr>
            <w:tcW w:type="dxa" w:w="3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Contractor field days, extension officers, WhatsApp, USSD/SMS</w:t>
            </w:r>
          </w:p>
        </w:tc>
        <w:tc>
          <w:tcPr>
            <w:tcW w:type="dxa" w:w="33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Free bankable feasibility plan &amp; plain-language contract</w:t>
            </w:r>
          </w:p>
        </w:tc>
      </w:tr>
      <w:tr>
        <w:tc>
          <w:tcPr>
            <w:tcW w:type="dxa" w:w="28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Contractors / merchants</w:t>
            </w:r>
          </w:p>
        </w:tc>
        <w:tc>
          <w:tcPr>
            <w:tcW w:type="dxa" w:w="3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Direct B2B sales, pilot with one or two licensed contractors</w:t>
            </w:r>
          </w:p>
        </w:tc>
        <w:tc>
          <w:tcPr>
            <w:tcW w:type="dxa" w:w="33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Lower default &amp; side-marketing losses</w:t>
            </w:r>
          </w:p>
        </w:tc>
      </w:tr>
      <w:tr>
        <w:tc>
          <w:tcPr>
            <w:tcW w:type="dxa" w:w="28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Banks &amp; microfinanciers</w:t>
            </w:r>
          </w:p>
        </w:tc>
        <w:tc>
          <w:tcPr>
            <w:tcW w:type="dxa" w:w="36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Partnership pitch with pilot data from contractor cohorts</w:t>
            </w:r>
          </w:p>
        </w:tc>
        <w:tc>
          <w:tcPr>
            <w:tcW w:type="dxa" w:w="33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Live credit-scoring ledger cutting verification costs</w:t>
            </w:r>
          </w:p>
        </w:tc>
      </w:tr>
      <w:tr>
        <w:tc>
          <w:tcPr>
            <w:tcW w:type="dxa" w:w="28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TIMB and government</w:t>
            </w:r>
          </w:p>
        </w:tc>
        <w:tc>
          <w:tcPr>
            <w:tcW w:type="dxa" w:w="36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Formal engagement and MoU before public launch</w:t>
            </w:r>
          </w:p>
        </w:tc>
        <w:tc>
          <w:tcPr>
            <w:tcW w:type="dxa" w:w="33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Automated levy, compliance, and registration sync</w:t>
            </w:r>
          </w:p>
        </w:tc>
      </w:tr>
    </w:tbl>
    <w:p>
      <w:pPr>
        <w:spacing w:after="140"/>
      </w:pPr>
      <w:r>
        <w:rPr>
          <w:rFonts w:ascii="Calibri" w:cs="Calibri" w:eastAsia="Calibri" w:hAnsi="Calibri"/>
          <w:color w:val="5D7B5D"/>
          <w:sz w:val="13"/>
          <w:szCs w:val="13"/>
        </w:rPr>
        <w:t xml:space="preserve">Africa expansion follows the same principle: enter through each country’s regulator and dominant offtakers (Malawi/Zambia for tobacco; Kenya/Uganda/Tanzania for horticulture), keeping the farmer-facing product free and useful on its own.</w:t>
      </w:r>
    </w:p>
    <w:p>
      <w:pPr>
        <w:pStyle w:val="Heading2"/>
        <w:spacing w:after="60" w:before="120"/>
      </w:pPr>
      <w:r>
        <w:rPr>
          <w:rFonts w:ascii="Calibri" w:cs="Calibri" w:eastAsia="Calibri" w:hAnsi="Calibri"/>
          <w:b/>
          <w:bCs/>
          <w:color w:val="1B3A1B"/>
          <w:sz w:val="20"/>
          <w:szCs w:val="20"/>
        </w:rPr>
        <w:t xml:space="preserve">Revenue Model</w:t>
      </w:r>
    </w:p>
    <w:tbl>
      <w:tblPr>
        <w:tblW w:type="dxa" w:w="9720"/>
        <w:tblBorders>
          <w:top w:val="none"/>
          <w:left w:val="none"/>
          <w:bottom w:val="none"/>
          <w:right w:val="none"/>
          <w:insideH w:val="none"/>
          <w:insideV w:val="none"/>
        </w:tblBorders>
      </w:tblPr>
      <w:tblGrid>
        <w:gridCol w:w="3400"/>
        <w:gridCol w:w="4200"/>
        <w:gridCol w:w="2120"/>
      </w:tblGrid>
      <w:tr>
        <w:trPr>
          <w:tblHeader/>
        </w:trPr>
        <w:tc>
          <w:tcPr>
            <w:tcW w:type="dxa" w:w="34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Stream</w:t>
            </w:r>
          </w:p>
        </w:tc>
        <w:tc>
          <w:tcPr>
            <w:tcW w:type="dxa" w:w="420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Who Pays</w:t>
            </w:r>
          </w:p>
        </w:tc>
        <w:tc>
          <w:tcPr>
            <w:tcW w:type="dxa" w:w="2120"/>
            <w:shd w:fill="1B2E1B" w:val="clear"/>
            <w:tcMar>
              <w:top w:type="dxa" w:w="55"/>
              <w:left w:type="dxa" w:w="95"/>
              <w:bottom w:type="dxa" w:w="55"/>
              <w:right w:type="dxa" w:w="95"/>
            </w:tcMar>
          </w:tcPr>
          <w:p>
            <w:r>
              <w:rPr>
                <w:rFonts w:ascii="Calibri" w:cs="Calibri" w:eastAsia="Calibri" w:hAnsi="Calibri"/>
                <w:b/>
                <w:bCs/>
                <w:caps/>
                <w:color w:val="FFFFFF"/>
                <w:spacing w:val="6"/>
                <w:sz w:val="12"/>
                <w:szCs w:val="12"/>
              </w:rPr>
              <w:t xml:space="preserve">When</w:t>
            </w:r>
          </w:p>
        </w:tc>
      </w:tr>
      <w:tr>
        <w:tc>
          <w:tcPr>
            <w:tcW w:type="dxa" w:w="3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Farmer core tools</w:t>
            </w:r>
          </w:p>
        </w:tc>
        <w:tc>
          <w:tcPr>
            <w:tcW w:type="dxa" w:w="42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No one — free, the onboarding hook</w:t>
            </w:r>
          </w:p>
        </w:tc>
        <w:tc>
          <w:tcPr>
            <w:tcW w:type="dxa" w:w="2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Pilot</w:t>
            </w:r>
          </w:p>
        </w:tc>
      </w:tr>
      <w:tr>
        <w:tc>
          <w:tcPr>
            <w:tcW w:type="dxa" w:w="34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Contractor platform subscription</w:t>
            </w:r>
          </w:p>
        </w:tc>
        <w:tc>
          <w:tcPr>
            <w:tcW w:type="dxa" w:w="42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Contractors / merchants, per grower/season</w:t>
            </w:r>
          </w:p>
        </w:tc>
        <w:tc>
          <w:tcPr>
            <w:tcW w:type="dxa" w:w="21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Pilot</w:t>
            </w:r>
          </w:p>
        </w:tc>
      </w:tr>
      <w:tr>
        <w:tc>
          <w:tcPr>
            <w:tcW w:type="dxa" w:w="3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Bank &amp; financier services</w:t>
            </w:r>
          </w:p>
        </w:tc>
        <w:tc>
          <w:tcPr>
            <w:tcW w:type="dxa" w:w="42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Banks, per verified loan file or ledger subscription</w:t>
            </w:r>
          </w:p>
        </w:tc>
        <w:tc>
          <w:tcPr>
            <w:tcW w:type="dxa" w:w="2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Pilot–Phase 2</w:t>
            </w:r>
          </w:p>
        </w:tc>
      </w:tr>
      <w:tr>
        <w:tc>
          <w:tcPr>
            <w:tcW w:type="dxa" w:w="34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Grants &amp; impact funding</w:t>
            </w:r>
          </w:p>
        </w:tc>
        <w:tc>
          <w:tcPr>
            <w:tcW w:type="dxa" w:w="42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Donors / DFIs, tied to farmers onboarded</w:t>
            </w:r>
          </w:p>
        </w:tc>
        <w:tc>
          <w:tcPr>
            <w:tcW w:type="dxa" w:w="21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Pilot onward</w:t>
            </w:r>
          </w:p>
        </w:tc>
      </w:tr>
      <w:tr>
        <w:tc>
          <w:tcPr>
            <w:tcW w:type="dxa" w:w="34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Escrow, freight &amp; compliance fees</w:t>
            </w:r>
          </w:p>
        </w:tc>
        <w:tc>
          <w:tcPr>
            <w:tcW w:type="dxa" w:w="420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Payer / shipper, small % per settlement</w:t>
            </w:r>
          </w:p>
        </w:tc>
        <w:tc>
          <w:tcPr>
            <w:tcW w:type="dxa" w:w="2120"/>
            <w:tcBorders>
              <w:top w:val="none"/>
              <w:left w:val="none"/>
              <w:bottom w:val="single" w:color="D5DDD5" w:sz="3"/>
              <w:right w:val="none"/>
            </w:tcBorders>
            <w:shd w:fill="FFFFFF" w:val="clear"/>
            <w:tcMar>
              <w:top w:type="dxa" w:w="48"/>
              <w:left w:type="dxa" w:w="95"/>
              <w:bottom w:type="dxa" w:w="48"/>
              <w:right w:type="dxa" w:w="95"/>
            </w:tcMar>
          </w:tcPr>
          <w:p>
            <w:r>
              <w:rPr>
                <w:rFonts w:ascii="Calibri" w:cs="Calibri" w:eastAsia="Calibri" w:hAnsi="Calibri"/>
                <w:color w:val="1B3A1B"/>
                <w:sz w:val="11"/>
                <w:szCs w:val="11"/>
              </w:rPr>
              <w:t xml:space="preserve">Phase 2–3</w:t>
            </w:r>
          </w:p>
        </w:tc>
      </w:tr>
      <w:tr>
        <w:tc>
          <w:tcPr>
            <w:tcW w:type="dxa" w:w="34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Marketplace commission</w:t>
            </w:r>
          </w:p>
        </w:tc>
        <w:tc>
          <w:tcPr>
            <w:tcW w:type="dxa" w:w="420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Sellers/buyers, % of transaction value</w:t>
            </w:r>
          </w:p>
        </w:tc>
        <w:tc>
          <w:tcPr>
            <w:tcW w:type="dxa" w:w="2120"/>
            <w:tcBorders>
              <w:top w:val="none"/>
              <w:left w:val="none"/>
              <w:bottom w:val="single" w:color="D5DDD5" w:sz="3"/>
              <w:right w:val="none"/>
            </w:tcBorders>
            <w:shd w:fill="F6F7F2" w:val="clear"/>
            <w:tcMar>
              <w:top w:type="dxa" w:w="48"/>
              <w:left w:type="dxa" w:w="95"/>
              <w:bottom w:type="dxa" w:w="48"/>
              <w:right w:type="dxa" w:w="95"/>
            </w:tcMar>
          </w:tcPr>
          <w:p>
            <w:r>
              <w:rPr>
                <w:rFonts w:ascii="Calibri" w:cs="Calibri" w:eastAsia="Calibri" w:hAnsi="Calibri"/>
                <w:color w:val="1B3A1B"/>
                <w:sz w:val="11"/>
                <w:szCs w:val="11"/>
              </w:rPr>
              <w:t xml:space="preserve">Phase 3</w:t>
            </w:r>
          </w:p>
        </w:tc>
      </w:tr>
    </w:tbl>
    <w:p>
      <w:pPr>
        <w:spacing w:after="0"/>
      </w:pPr>
      <w:r>
        <w:rPr>
          <w:rFonts w:ascii="Calibri" w:cs="Calibri" w:eastAsia="Calibri" w:hAnsi="Calibri"/>
          <w:i/>
          <w:iCs/>
          <w:color w:val="5D7B5D"/>
          <w:sz w:val="12"/>
          <w:szCs w:val="12"/>
        </w:rPr>
        <w:t xml:space="preserve">Design principle: never make fees look like a new tax on the farmer’s net price — deduct visibly, only where the farmer gets faster or safer payment, and confirmed lawful with the regulator and counsel.</w:t>
      </w:r>
    </w:p>
    <w:p>
      <w:r>
        <w:br w:type="page"/>
      </w:r>
    </w:p>
    <w:p>
      <w:pPr>
        <w:pBdr>
          <w:left w:val="single" w:color="7A5200" w:sz="24" w:space="6"/>
        </w:pBdr>
        <w:spacing w:after="50"/>
        <w:ind w:left="130"/>
      </w:pPr>
      <w:r>
        <w:rPr>
          <w:rFonts w:ascii="Calibri" w:cs="Calibri" w:eastAsia="Calibri" w:hAnsi="Calibri"/>
          <w:b/>
          <w:bCs/>
          <w:caps/>
          <w:color w:val="7A5200"/>
          <w:spacing w:val="18"/>
          <w:sz w:val="16"/>
          <w:szCs w:val="16"/>
        </w:rPr>
        <w:t xml:space="preserve">THE PILOT &amp; THE ASK</w:t>
      </w:r>
    </w:p>
    <w:p>
      <w:pPr>
        <w:pStyle w:val="Heading1"/>
        <w:pBdr>
          <w:bottom w:val="single" w:color="2E7D32" w:sz="12" w:space="6"/>
        </w:pBdr>
        <w:spacing w:after="120"/>
      </w:pPr>
      <w:r>
        <w:rPr>
          <w:rFonts w:ascii="Calibri Light" w:cs="Calibri Light" w:eastAsia="Calibri Light" w:hAnsi="Calibri Light"/>
          <w:b/>
          <w:bCs/>
          <w:color w:val="1B3A1B"/>
          <w:sz w:val="27"/>
          <w:szCs w:val="27"/>
        </w:rPr>
        <w:t xml:space="preserve">Cluster-Zero: a 90-day proof, then what we need from you</w:t>
      </w:r>
    </w:p>
    <w:p>
      <w:pPr>
        <w:spacing w:after="100"/>
      </w:pPr>
      <w:r>
        <w:rPr>
          <w:rFonts w:ascii="Calibri" w:cs="Calibri" w:eastAsia="Calibri" w:hAnsi="Calibri"/>
          <w:color w:val="5D7B5D"/>
          <w:sz w:val="14"/>
          <w:szCs w:val="14"/>
        </w:rPr>
        <w:t xml:space="preserve">About 500 participants across 12 roles in one closed-loop cluster — Karoi/Mvurwi (tobacco) plus Mutoko (tomatoes) — proves standalone value and scaling mechanics at the same time.</w:t>
      </w:r>
    </w:p>
    <w:tbl>
      <w:tblPr>
        <w:tblW w:type="dxa" w:w="9720"/>
        <w:tblBorders>
          <w:top w:val="none"/>
          <w:left w:val="none"/>
          <w:bottom w:val="none"/>
          <w:right w:val="none"/>
          <w:insideH w:val="single" w:color="auto" w:sz="4"/>
          <w:insideV w:val="single" w:color="auto" w:sz="4"/>
        </w:tblBorders>
      </w:tblPr>
      <w:tblGrid>
        <w:gridCol w:w="3240"/>
        <w:gridCol w:w="3240"/>
        <w:gridCol w:w="3240"/>
      </w:tblGrid>
      <w:tr>
        <w:tc>
          <w:tcPr>
            <w:tcW w:type="dxa" w:w="3240"/>
            <w:tcBorders>
              <w:top w:val="single" w:color="D5DDD5" w:sz="4"/>
              <w:left w:val="single" w:color="D5DDD5" w:sz="4"/>
              <w:bottom w:val="single" w:color="D5DDD5" w:sz="4"/>
              <w:right w:val="single" w:color="D5DDD5" w:sz="4"/>
            </w:tcBorders>
            <w:tcMar>
              <w:top w:type="dxa" w:w="70"/>
              <w:left w:type="dxa" w:w="110"/>
              <w:bottom w:type="dxa" w:w="70"/>
              <w:right w:type="dxa" w:w="110"/>
            </w:tcMar>
          </w:tcPr>
          <w:p>
            <w:r>
              <w:rPr>
                <w:rFonts w:ascii="Calibri" w:cs="Calibri" w:eastAsia="Calibri" w:hAnsi="Calibri"/>
                <w:b/>
                <w:bCs/>
                <w:color w:val="2E7D32"/>
                <w:sz w:val="12"/>
                <w:szCs w:val="12"/>
              </w:rPr>
              <w:t xml:space="preserve">DAYS 1–30</w:t>
            </w:r>
          </w:p>
          <w:p>
            <w:pPr>
              <w:spacing w:after="20"/>
            </w:pPr>
            <w:r>
              <w:rPr>
                <w:rFonts w:ascii="Calibri" w:cs="Calibri" w:eastAsia="Calibri" w:hAnsi="Calibri"/>
                <w:b/>
                <w:bCs/>
                <w:color w:val="1B3A1B"/>
                <w:sz w:val="13"/>
                <w:szCs w:val="13"/>
              </w:rPr>
              <w:t xml:space="preserve">Standalone Onboarding</w:t>
            </w:r>
          </w:p>
          <w:p>
            <w:r>
              <w:rPr>
                <w:rFonts w:ascii="Calibri" w:cs="Calibri" w:eastAsia="Calibri" w:hAnsi="Calibri"/>
                <w:color w:val="5D7B5D"/>
                <w:sz w:val="11"/>
                <w:szCs w:val="11"/>
              </w:rPr>
              <w:t xml:space="preserve">Feasibility plans &amp; crop diagnostics, no transactions forced</w:t>
            </w:r>
          </w:p>
        </w:tc>
        <w:tc>
          <w:tcPr>
            <w:tcW w:type="dxa" w:w="3240"/>
            <w:tcBorders>
              <w:top w:val="single" w:color="D5DDD5" w:sz="4"/>
              <w:left w:val="single" w:color="D5DDD5" w:sz="4"/>
              <w:bottom w:val="single" w:color="D5DDD5" w:sz="4"/>
              <w:right w:val="single" w:color="D5DDD5" w:sz="4"/>
            </w:tcBorders>
            <w:tcMar>
              <w:top w:type="dxa" w:w="70"/>
              <w:left w:type="dxa" w:w="110"/>
              <w:bottom w:type="dxa" w:w="70"/>
              <w:right w:type="dxa" w:w="110"/>
            </w:tcMar>
          </w:tcPr>
          <w:p>
            <w:r>
              <w:rPr>
                <w:rFonts w:ascii="Calibri" w:cs="Calibri" w:eastAsia="Calibri" w:hAnsi="Calibri"/>
                <w:b/>
                <w:bCs/>
                <w:color w:val="7A5200"/>
                <w:sz w:val="12"/>
                <w:szCs w:val="12"/>
              </w:rPr>
              <w:t xml:space="preserve">DAYS 31–60</w:t>
            </w:r>
          </w:p>
          <w:p>
            <w:pPr>
              <w:spacing w:after="20"/>
            </w:pPr>
            <w:r>
              <w:rPr>
                <w:rFonts w:ascii="Calibri" w:cs="Calibri" w:eastAsia="Calibri" w:hAnsi="Calibri"/>
                <w:b/>
                <w:bCs/>
                <w:color w:val="1B3A1B"/>
                <w:sz w:val="13"/>
                <w:szCs w:val="13"/>
              </w:rPr>
              <w:t xml:space="preserve">Transactions &amp; Escrow</w:t>
            </w:r>
          </w:p>
          <w:p>
            <w:r>
              <w:rPr>
                <w:rFonts w:ascii="Calibri" w:cs="Calibri" w:eastAsia="Calibri" w:hAnsi="Calibri"/>
                <w:color w:val="5D7B5D"/>
                <w:sz w:val="11"/>
                <w:szCs w:val="11"/>
              </w:rPr>
              <w:t xml:space="preserve">Input vouchers, freight bookings, disputes logged</w:t>
            </w:r>
          </w:p>
        </w:tc>
        <w:tc>
          <w:tcPr>
            <w:tcW w:type="dxa" w:w="3240"/>
            <w:tcBorders>
              <w:top w:val="single" w:color="D5DDD5" w:sz="4"/>
              <w:left w:val="single" w:color="D5DDD5" w:sz="4"/>
              <w:bottom w:val="single" w:color="D5DDD5" w:sz="4"/>
              <w:right w:val="single" w:color="D5DDD5" w:sz="4"/>
            </w:tcBorders>
            <w:tcMar>
              <w:top w:type="dxa" w:w="70"/>
              <w:left w:type="dxa" w:w="110"/>
              <w:bottom w:type="dxa" w:w="70"/>
              <w:right w:type="dxa" w:w="110"/>
            </w:tcMar>
          </w:tcPr>
          <w:p>
            <w:r>
              <w:rPr>
                <w:rFonts w:ascii="Calibri" w:cs="Calibri" w:eastAsia="Calibri" w:hAnsi="Calibri"/>
                <w:b/>
                <w:bCs/>
                <w:color w:val="5C6BC0"/>
                <w:sz w:val="12"/>
                <w:szCs w:val="12"/>
              </w:rPr>
              <w:t xml:space="preserve">DAYS 61–90</w:t>
            </w:r>
          </w:p>
          <w:p>
            <w:pPr>
              <w:spacing w:after="20"/>
            </w:pPr>
            <w:r>
              <w:rPr>
                <w:rFonts w:ascii="Calibri" w:cs="Calibri" w:eastAsia="Calibri" w:hAnsi="Calibri"/>
                <w:b/>
                <w:bCs/>
                <w:color w:val="1B3A1B"/>
                <w:sz w:val="13"/>
                <w:szCs w:val="13"/>
              </w:rPr>
              <w:t xml:space="preserve">Market Live-Fire Test</w:t>
            </w:r>
          </w:p>
          <w:p>
            <w:r>
              <w:rPr>
                <w:rFonts w:ascii="Calibri" w:cs="Calibri" w:eastAsia="Calibri" w:hAnsi="Calibri"/>
                <w:color w:val="5D7B5D"/>
                <w:sz w:val="11"/>
                <w:szCs w:val="11"/>
              </w:rPr>
              <w:t xml:space="preserve">Auction floor sync, waterfall settlement, payout inside the hour</w:t>
            </w:r>
          </w:p>
        </w:tc>
      </w:tr>
    </w:tbl>
    <w:p>
      <w:pPr>
        <w:spacing w:after="140"/>
      </w:pPr>
    </w:p>
    <w:p>
      <w:pPr>
        <w:pStyle w:val="Heading2"/>
        <w:spacing w:after="60" w:before="120"/>
      </w:pPr>
      <w:r>
        <w:rPr>
          <w:rFonts w:ascii="Calibri" w:cs="Calibri" w:eastAsia="Calibri" w:hAnsi="Calibri"/>
          <w:b/>
          <w:bCs/>
          <w:color w:val="1B3A1B"/>
          <w:sz w:val="20"/>
          <w:szCs w:val="20"/>
        </w:rPr>
        <w:t xml:space="preserve">Success Metrics</w:t>
      </w:r>
    </w:p>
    <w:p>
      <w:pPr>
        <w:pStyle w:val="ListParagraph"/>
        <w:numPr>
          <w:ilvl w:val="0"/>
          <w:numId w:val="2"/>
        </w:numPr>
        <w:spacing w:after="40"/>
      </w:pPr>
      <w:r>
        <w:rPr>
          <w:rFonts w:ascii="Calibri" w:cs="Calibri" w:eastAsia="Calibri" w:hAnsi="Calibri"/>
          <w:color w:val="1B3A1B"/>
          <w:sz w:val="14"/>
          <w:szCs w:val="14"/>
        </w:rPr>
        <w:t xml:space="preserve">Reduction in side-marketing incidents flagged/prevented at bale logging vs. baseline</w:t>
      </w:r>
    </w:p>
    <w:p>
      <w:pPr>
        <w:pStyle w:val="ListParagraph"/>
        <w:numPr>
          <w:ilvl w:val="0"/>
          <w:numId w:val="2"/>
        </w:numPr>
        <w:spacing w:after="40"/>
      </w:pPr>
      <w:r>
        <w:rPr>
          <w:rFonts w:ascii="Calibri" w:cs="Calibri" w:eastAsia="Calibri" w:hAnsi="Calibri"/>
          <w:color w:val="1B3A1B"/>
          <w:sz w:val="14"/>
          <w:szCs w:val="14"/>
        </w:rPr>
        <w:t xml:space="preserve">Number of communal farmers onboarded with a digitally signed offtake agreement</w:t>
      </w:r>
    </w:p>
    <w:p>
      <w:pPr>
        <w:pStyle w:val="ListParagraph"/>
        <w:numPr>
          <w:ilvl w:val="0"/>
          <w:numId w:val="2"/>
        </w:numPr>
        <w:spacing w:after="40"/>
      </w:pPr>
      <w:r>
        <w:rPr>
          <w:rFonts w:ascii="Calibri" w:cs="Calibri" w:eastAsia="Calibri" w:hAnsi="Calibri"/>
          <w:color w:val="1B3A1B"/>
          <w:sz w:val="14"/>
          <w:szCs w:val="14"/>
        </w:rPr>
        <w:t xml:space="preserve">Volume of input credit extended by banks/merchants using the credit-scoring ledger</w:t>
      </w:r>
    </w:p>
    <w:p>
      <w:pPr>
        <w:pStyle w:val="ListParagraph"/>
        <w:numPr>
          <w:ilvl w:val="0"/>
          <w:numId w:val="2"/>
        </w:numPr>
        <w:spacing w:after="40"/>
      </w:pPr>
      <w:r>
        <w:rPr>
          <w:rFonts w:ascii="Calibri" w:cs="Calibri" w:eastAsia="Calibri" w:hAnsi="Calibri"/>
          <w:color w:val="1B3A1B"/>
          <w:sz w:val="14"/>
          <w:szCs w:val="14"/>
        </w:rPr>
        <w:t xml:space="preserve">Payout time from sale to farmer wallet, and loan repayment rate vs. a matched group</w:t>
      </w:r>
    </w:p>
    <w:p>
      <w:pPr>
        <w:spacing w:after="1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9A825" w:sz="8"/>
              <w:left w:val="single" w:color="F9A825" w:sz="8"/>
              <w:bottom w:val="single" w:color="F9A825" w:sz="8"/>
              <w:right w:val="single" w:color="F9A825" w:sz="8"/>
            </w:tcBorders>
            <w:shd w:fill="FFF8E1" w:val="clear"/>
            <w:tcMar>
              <w:top w:type="dxa" w:w="130"/>
              <w:left w:type="dxa" w:w="170"/>
              <w:bottom w:type="dxa" w:w="130"/>
              <w:right w:type="dxa" w:w="170"/>
            </w:tcMar>
          </w:tcPr>
          <w:p>
            <w:pPr>
              <w:spacing w:after="60"/>
            </w:pPr>
            <w:r>
              <w:rPr>
                <w:rFonts w:ascii="Calibri" w:cs="Calibri" w:eastAsia="Calibri" w:hAnsi="Calibri"/>
                <w:b/>
                <w:bCs/>
                <w:color w:val="7A5200"/>
                <w:sz w:val="19"/>
                <w:szCs w:val="19"/>
              </w:rPr>
              <w:t xml:space="preserve">What We’re Asking For</w:t>
            </w:r>
          </w:p>
          <w:p>
            <w:pPr>
              <w:pStyle w:val="ListParagraph"/>
              <w:numPr>
                <w:ilvl w:val="0"/>
                <w:numId w:val="2"/>
              </w:numPr>
              <w:spacing w:after="40"/>
            </w:pPr>
            <w:r>
              <w:rPr>
                <w:rFonts w:ascii="Calibri" w:cs="Calibri" w:eastAsia="Calibri" w:hAnsi="Calibri"/>
                <w:color w:val="5C4300"/>
                <w:sz w:val="14"/>
                <w:szCs w:val="14"/>
              </w:rPr>
              <w:t xml:space="preserve">Fund/validate a small pilot — one contractor + 30–50 farmers — before Cluster-Zero at ~500</w:t>
            </w:r>
          </w:p>
          <w:p>
            <w:pPr>
              <w:pStyle w:val="ListParagraph"/>
              <w:numPr>
                <w:ilvl w:val="0"/>
                <w:numId w:val="2"/>
              </w:numPr>
              <w:spacing w:after="40"/>
            </w:pPr>
            <w:r>
              <w:rPr>
                <w:rFonts w:ascii="Calibri" w:cs="Calibri" w:eastAsia="Calibri" w:hAnsi="Calibri"/>
                <w:color w:val="5C4300"/>
                <w:sz w:val="14"/>
                <w:szCs w:val="14"/>
              </w:rPr>
              <w:t xml:space="preserve">Open engagement with TIMB &amp; POTRAZ; support the MoU and data-protection licensing process</w:t>
            </w:r>
          </w:p>
          <w:p>
            <w:pPr>
              <w:pStyle w:val="ListParagraph"/>
              <w:numPr>
                <w:ilvl w:val="0"/>
                <w:numId w:val="2"/>
              </w:numPr>
              <w:spacing w:after="40"/>
            </w:pPr>
            <w:r>
              <w:rPr>
                <w:rFonts w:ascii="Calibri" w:cs="Calibri" w:eastAsia="Calibri" w:hAnsi="Calibri"/>
                <w:color w:val="5C4300"/>
                <w:sz w:val="14"/>
                <w:szCs w:val="14"/>
              </w:rPr>
              <w:t xml:space="preserve">Commission legal review — digital signatures, escrow/payment rules, Reserve Bank of Zimbabwe requirements</w:t>
            </w:r>
          </w:p>
          <w:p>
            <w:pPr>
              <w:pStyle w:val="ListParagraph"/>
              <w:numPr>
                <w:ilvl w:val="0"/>
                <w:numId w:val="2"/>
              </w:numPr>
              <w:spacing w:after="40"/>
            </w:pPr>
            <w:r>
              <w:rPr>
                <w:rFonts w:ascii="Calibri" w:cs="Calibri" w:eastAsia="Calibri" w:hAnsi="Calibri"/>
                <w:color w:val="5C4300"/>
                <w:sz w:val="14"/>
                <w:szCs w:val="14"/>
              </w:rPr>
              <w:t xml:space="preserve">Introductions to an anchor contractor, bank/MFI, and auction floor for Cluster-Zero</w:t>
            </w:r>
          </w:p>
        </w:tc>
      </w:tr>
    </w:tbl>
    <w:p>
      <w:pPr>
        <w:pBdr>
          <w:top w:val="single" w:color="2E7D32" w:sz="12" w:space="6"/>
        </w:pBdr>
        <w:spacing w:before="200"/>
      </w:pPr>
    </w:p>
    <w:p>
      <w:pPr>
        <w:spacing w:after="60"/>
      </w:pPr>
      <w:r>
        <w:drawing>
          <wp:inline distT="0" distB="0" distL="0" distR="0">
            <wp:extent cx="381000" cy="38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381000"/>
                    </a:xfrm>
                    <a:prstGeom prst="rect">
                      <a:avLst/>
                    </a:prstGeom>
                  </pic:spPr>
                </pic:pic>
              </a:graphicData>
            </a:graphic>
          </wp:inline>
        </w:drawing>
      </w:r>
    </w:p>
    <w:p>
      <w:pPr>
        <w:spacing w:after="15"/>
      </w:pPr>
      <w:r>
        <w:rPr>
          <w:rFonts w:ascii="Calibri" w:cs="Calibri" w:eastAsia="Calibri" w:hAnsi="Calibri"/>
          <w:b/>
          <w:bCs/>
          <w:color w:val="1B3A1B"/>
          <w:sz w:val="17"/>
          <w:szCs w:val="17"/>
        </w:rPr>
        <w:t xml:space="preserve">Transfarmation</w:t>
      </w:r>
    </w:p>
    <w:p>
      <w:pPr>
        <w:spacing w:after="100"/>
      </w:pPr>
      <w:r>
        <w:rPr>
          <w:rFonts w:ascii="Calibri" w:cs="Calibri" w:eastAsia="Calibri" w:hAnsi="Calibri"/>
          <w:i/>
          <w:iCs/>
          <w:color w:val="5D7B5D"/>
          <w:sz w:val="12"/>
          <w:szCs w:val="12"/>
        </w:rPr>
        <w:t xml:space="preserve">People busy transforming their farming activities</w:t>
      </w:r>
    </w:p>
    <w:p>
      <w:hyperlink w:history="1" r:id="rIdlwqrd8p3sztyd93q2l2ax">
        <w:r>
          <w:rPr>
            <w:rFonts w:ascii="Calibri" w:cs="Calibri" w:eastAsia="Calibri" w:hAnsi="Calibri"/>
            <w:color w:val="2E7D32"/>
            <w:sz w:val="13"/>
            <w:szCs w:val="13"/>
            <w:u w:val="single"/>
          </w:rPr>
          <w:t xml:space="preserve">tinostaguta@gmail.com</w:t>
        </w:r>
      </w:hyperlink>
    </w:p>
    <w:p>
      <w:r>
        <w:rPr>
          <w:rFonts w:ascii="Calibri" w:cs="Calibri" w:eastAsia="Calibri" w:hAnsi="Calibri"/>
          <w:b/>
          <w:bCs/>
          <w:color w:val="1B3A1B"/>
          <w:sz w:val="13"/>
          <w:szCs w:val="13"/>
        </w:rPr>
        <w:t xml:space="preserve">Prepared exclusively for the Principal &amp; Stakeholders — Confidential</w:t>
      </w:r>
    </w:p>
    <w:sectPr>
      <w:headerReference w:type="default" r:id="rId6"/>
      <w:headerReference w:type="first" r:id="rId7"/>
      <w:footerReference w:type="default" r:id="rId8"/>
      <w:footerReference w:type="first" r:id="rId9"/>
      <w:pgSz w:w="12240" w:h="15840" w:orient="portrait"/>
      <w:pgMar w:top="760" w:right="1000" w:bottom="76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D5DDD5" w:sz="4" w:space="4"/>
        <w:left w:val="none"/>
        <w:bottom w:val="none"/>
        <w:right w:val="none"/>
        <w:insideH w:val="none"/>
        <w:insideV w:val="none"/>
      </w:tblBorders>
    </w:tblPr>
    <w:tblGrid>
      <w:gridCol w:w="4860"/>
      <w:gridCol w:w="4860"/>
    </w:tblGrid>
    <w:tr>
      <w:tc>
        <w:tcPr>
          <w:tcW w:type="dxa" w:w="4860"/>
          <w:tcBorders>
            <w:top w:val="none"/>
            <w:left w:val="none"/>
            <w:bottom w:val="none"/>
            <w:right w:val="none"/>
          </w:tcBorders>
        </w:tcPr>
        <w:p>
          <w:r>
            <w:rPr>
              <w:rFonts w:ascii="Calibri" w:cs="Calibri" w:eastAsia="Calibri" w:hAnsi="Calibri"/>
              <w:color w:val="5D7B5D"/>
              <w:sz w:val="11"/>
              <w:szCs w:val="11"/>
            </w:rPr>
            <w:t xml:space="preserve">Transfarmation · Confidential</w:t>
          </w:r>
        </w:p>
      </w:tc>
      <w:tc>
        <w:tcPr>
          <w:tcW w:type="dxa" w:w="4860"/>
          <w:tcBorders>
            <w:top w:val="none"/>
            <w:left w:val="none"/>
            <w:bottom w:val="none"/>
            <w:right w:val="none"/>
          </w:tcBorders>
        </w:tcPr>
        <w:p>
          <w:pPr>
            <w:jc w:val="right"/>
          </w:pPr>
          <w:r>
            <w:rPr>
              <w:rFonts w:ascii="Calibri" w:cs="Calibri" w:eastAsia="Calibri" w:hAnsi="Calibri"/>
              <w:color w:val="5D7B5D"/>
              <w:sz w:val="11"/>
              <w:szCs w:val="11"/>
            </w:rPr>
            <w:t xml:space="preserve">Page </w:t>
          </w:r>
          <w:r>
            <w:rPr>
              <w:rFonts w:ascii="Calibri" w:cs="Calibri" w:eastAsia="Calibri" w:hAnsi="Calibri"/>
              <w:b/>
              <w:bCs/>
              <w:color w:val="5D7B5D"/>
              <w:sz w:val="11"/>
              <w:szCs w:val="11"/>
            </w:rPr>
            <w:fldChar w:fldCharType="begin"/>
            <w:instrText xml:space="preserve">PAGE</w:instrText>
            <w:fldChar w:fldCharType="separate"/>
            <w:fldChar w:fldCharType="end"/>
          </w:r>
          <w:r>
            <w:rPr>
              <w:rFonts w:ascii="Calibri" w:cs="Calibri" w:eastAsia="Calibri" w:hAnsi="Calibri"/>
              <w:color w:val="5D7B5D"/>
              <w:sz w:val="11"/>
              <w:szCs w:val="11"/>
            </w:rPr>
            <w:t xml:space="preserve"> of </w:t>
          </w:r>
          <w:r>
            <w:rPr>
              <w:rFonts w:ascii="Calibri" w:cs="Calibri" w:eastAsia="Calibri" w:hAnsi="Calibri"/>
              <w:b/>
              <w:bCs/>
              <w:color w:val="5D7B5D"/>
              <w:sz w:val="11"/>
              <w:szCs w:val="11"/>
            </w:rPr>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D5DDD5" w:sz="4" w:space="4"/>
        <w:right w:val="none"/>
        <w:insideH w:val="none"/>
        <w:insideV w:val="none"/>
      </w:tblBorders>
    </w:tblPr>
    <w:tblGrid>
      <w:gridCol w:w="4860"/>
      <w:gridCol w:w="4860"/>
    </w:tblGrid>
    <w:tr>
      <w:tc>
        <w:tcPr>
          <w:tcW w:type="dxa" w:w="4860"/>
          <w:tcBorders>
            <w:top w:val="none"/>
            <w:left w:val="none"/>
            <w:bottom w:val="none"/>
            <w:right w:val="none"/>
          </w:tcBorders>
          <w:vAlign w:val="center"/>
        </w:tcPr>
        <w:p>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Calibri" w:cs="Calibri" w:eastAsia="Calibri" w:hAnsi="Calibri"/>
              <w:b/>
              <w:bCs/>
              <w:color w:val="2E7D32"/>
              <w:spacing w:val="8"/>
              <w:sz w:val="14"/>
              <w:szCs w:val="14"/>
            </w:rPr>
            <w:t xml:space="preserve">  TRANSFARMATION</w:t>
          </w:r>
        </w:p>
      </w:tc>
      <w:tc>
        <w:tcPr>
          <w:tcW w:type="dxa" w:w="4860"/>
          <w:tcBorders>
            <w:top w:val="none"/>
            <w:left w:val="none"/>
            <w:bottom w:val="none"/>
            <w:right w:val="none"/>
          </w:tcBorders>
          <w:vAlign w:val="center"/>
        </w:tcPr>
        <w:p>
          <w:pPr>
            <w:jc w:val="right"/>
          </w:pPr>
          <w:r>
            <w:rPr>
              <w:rFonts w:ascii="Calibri" w:cs="Calibri" w:eastAsia="Calibri" w:hAnsi="Calibri"/>
              <w:color w:val="5D7B5D"/>
              <w:spacing w:val="4"/>
              <w:sz w:val="11"/>
              <w:szCs w:val="11"/>
            </w:rPr>
            <w:t xml:space="preserve">VALUE PROPOSITION &amp; PARTNERSHIP PROPOSAL</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3A1B"/>
        <w:sz w:val="17"/>
        <w:szCs w:val="17"/>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lwqrd8p3sztyd93q2l2ax" Type="http://schemas.openxmlformats.org/officeDocument/2006/relationships/hyperlink" Target="mailto:tinostaguta@gmail.com" TargetMode="External"/><Relationship Id="rId11" Type="http://schemas.openxmlformats.org/officeDocument/2006/relationships/image" Target="media/eed6d36cc913f886d9e04ce83072377c9b54e0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d6d36cc913f886d9e04ce83072377c9b54e0b8.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2026-10-21T10:10:49.756Z</dcterms:created>
  <dcterms:modified xsi:type="dcterms:W3CDTF">2026-10-21T10:10:49.757Z</dcterms:modified>
</cp:coreProperties>
</file>

<file path=docProps/custom.xml><?xml version="1.0" encoding="utf-8"?>
<Properties xmlns="http://schemas.openxmlformats.org/officeDocument/2006/custom-properties" xmlns:vt="http://schemas.openxmlformats.org/officeDocument/2006/docPropsVTypes"/>
</file>