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b/>
          <w:color w:val="1F4E79"/>
          <w:sz w:val="40"/>
        </w:rPr>
        <w:t>Project Design Document</w:t>
      </w:r>
    </w:p>
    <w:p>
      <w:pPr>
        <w:jc w:val="center"/>
      </w:pPr>
      <w:r>
        <w:rPr>
          <w:sz w:val="28"/>
        </w:rPr>
        <w:t>VCS Project Description - Template v4.4 draft</w:t>
      </w:r>
    </w:p>
    <w:p>
      <w:pPr>
        <w:jc w:val="center"/>
      </w:pPr>
      <w:r>
        <w:rPr>
          <w:b/>
          <w:sz w:val="30"/>
        </w:rPr>
        <w:t>Soc Son-like Waste-to-Power Demonstration Project</w:t>
      </w:r>
    </w:p>
    <w:p>
      <w:pPr>
        <w:jc w:val="center"/>
      </w:pPr>
      <w:r>
        <w:t>Run ID: run-20260530073253-53b48b</w:t>
        <w:br/>
      </w:r>
      <w:r>
        <w:t>Generated: 2026-05-30 14:32</w:t>
        <w:br/>
      </w:r>
      <w:r>
        <w:t>Status: Internal review draft</w:t>
      </w:r>
    </w:p>
    <w:p>
      <w:r>
        <w:br w:type="page"/>
      </w:r>
    </w:p>
    <w:p>
      <w:r>
        <w:rPr>
          <w:b/>
          <w:color w:val="9C0006"/>
          <w:shd w:fill="FCE4D6"/>
        </w:rPr>
        <w:t>This document is a synthetic client-demo sample. It is intended for demonstration only and must not be treated as verified project evidence or a final audited Verra filing.</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168"/>
            <w:vAlign w:val="center"/>
            <w:tcMar>
              <w:top w:w="90" w:type="dxa"/>
              <w:start w:w="90" w:type="dxa"/>
              <w:bottom w:w="90" w:type="dxa"/>
              <w:end w:w="90" w:type="dxa"/>
            </w:tcMar>
            <w:shd w:fill="F2F6FA"/>
          </w:tcPr>
          <w:p>
            <w:pPr>
              <w:spacing w:after="0"/>
            </w:pPr>
            <w:r/>
            <w:r>
              <w:rPr>
                <w:b w:val="0"/>
                <w:sz w:val="18"/>
              </w:rPr>
              <w:t>Project title</w:t>
            </w:r>
          </w:p>
        </w:tc>
        <w:tc>
          <w:tcPr>
            <w:tcW w:type="dxa" w:w="6912"/>
            <w:vAlign w:val="center"/>
            <w:tcMar>
              <w:top w:w="90" w:type="dxa"/>
              <w:start w:w="90" w:type="dxa"/>
              <w:bottom w:w="90" w:type="dxa"/>
              <w:end w:w="90" w:type="dxa"/>
            </w:tcMar>
          </w:tcPr>
          <w:p>
            <w:pPr>
              <w:spacing w:after="0"/>
            </w:pPr>
            <w:r/>
            <w:r>
              <w:rPr>
                <w:b w:val="0"/>
                <w:sz w:val="18"/>
              </w:rPr>
              <w:t>Soc Son-like Waste-to-Power Demonstration Project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Project ID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Crediting period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Original date of issue</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Most recent date of issue</w:t>
            </w:r>
          </w:p>
        </w:tc>
        <w:tc>
          <w:tcPr>
            <w:tcW w:type="dxa" w:w="6912"/>
            <w:vAlign w:val="center"/>
            <w:tcMar>
              <w:top w:w="90" w:type="dxa"/>
              <w:start w:w="90" w:type="dxa"/>
              <w:bottom w:w="90" w:type="dxa"/>
              <w:end w:w="90" w:type="dxa"/>
            </w:tcMar>
          </w:tcPr>
          <w:p>
            <w:pPr>
              <w:spacing w:after="0"/>
            </w:pPr>
            <w:r/>
            <w:r>
              <w:rPr>
                <w:b w:val="0"/>
                <w:sz w:val="18"/>
              </w:rPr>
              <w:t>30-May-2026</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Version</w:t>
            </w:r>
          </w:p>
        </w:tc>
        <w:tc>
          <w:tcPr>
            <w:tcW w:type="dxa" w:w="6912"/>
            <w:vAlign w:val="center"/>
            <w:tcMar>
              <w:top w:w="90" w:type="dxa"/>
              <w:start w:w="90" w:type="dxa"/>
              <w:bottom w:w="90" w:type="dxa"/>
              <w:end w:w="90" w:type="dxa"/>
            </w:tcMar>
          </w:tcPr>
          <w:p>
            <w:pPr>
              <w:spacing w:after="0"/>
            </w:pPr>
            <w:r/>
            <w:r>
              <w:rPr>
                <w:b w:val="0"/>
                <w:sz w:val="18"/>
              </w:rPr>
              <w:t>Draft 0.1</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VCS Standard Version</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Prepared by</w:t>
            </w:r>
          </w:p>
        </w:tc>
        <w:tc>
          <w:tcPr>
            <w:tcW w:type="dxa" w:w="6912"/>
            <w:vAlign w:val="center"/>
            <w:tcMar>
              <w:top w:w="90" w:type="dxa"/>
              <w:start w:w="90" w:type="dxa"/>
              <w:bottom w:w="90" w:type="dxa"/>
              <w:end w:w="90" w:type="dxa"/>
            </w:tcMar>
          </w:tcPr>
          <w:p>
            <w:pPr>
              <w:spacing w:after="0"/>
            </w:pPr>
            <w:r/>
            <w:r>
              <w:rPr>
                <w:b w:val="0"/>
                <w:sz w:val="18"/>
              </w:rPr>
              <w:t>-</w:t>
            </w:r>
          </w:p>
        </w:tc>
      </w:tr>
    </w:tbl>
    <w:p/>
    <w:p>
      <w:pPr>
        <w:pStyle w:val="Heading1"/>
      </w:pPr>
      <w:r>
        <w:t>1 PROJECT DETAILS</w:t>
      </w:r>
    </w:p>
    <w:p>
      <w:pPr>
        <w:pStyle w:val="Heading2"/>
      </w:pPr>
      <w:r>
        <w:t>Summary Description of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demo_curated=9</w:t>
            </w:r>
          </w:p>
        </w:tc>
      </w:tr>
    </w:tbl>
    <w:p>
      <w:pPr>
        <w:pStyle w:val="Quote"/>
      </w:pPr>
      <w:r>
        <w:rPr>
          <w:b/>
        </w:rPr>
        <w:t xml:space="preserve">Retrieved provenance: </w:t>
      </w:r>
      <w:r>
        <w:t>[CORPUS: VCS_Bergama_Project-Description.norm, Summary Description of the Project]; [CORPUS: VCS_Bergama_Project-Description.norm, Summary Description of the Project]; [CORPUS: VCS_Inegol_Project-Description.norm, Summary Description of the Project]; [CORPUS: VCS_Inegol_Project-Description.norm, Summary Description of the Project]; [CORPUS: VCS_Soc_Son_Project-Description.norm, Summary Description of the Project]</w:t>
      </w:r>
    </w:p>
    <w:p>
      <w:pPr>
        <w:pStyle w:val="Quote"/>
      </w:pPr>
      <w:r>
        <w:rPr>
          <w:b/>
        </w:rPr>
        <w:t xml:space="preserve">Assumption note: </w:t>
      </w:r>
      <w:r>
        <w:t>9 synthetic/demo-backed input(s) affect this section. See Assumption Appendix for field-level details.</w:t>
      </w:r>
    </w:p>
    <w:p>
      <w:r>
        <w:t>This synthetic client-demo case illustrates a municipal solid waste facility that diverts waste from landfill disposal, recovers energy through treatment with power export, and demonstrates a Verra-style drafting workflow using deterministic demo inputs.</w:t>
      </w:r>
    </w:p>
    <w:p>
      <w:pPr>
        <w:pStyle w:val="Heading2"/>
      </w:pPr>
      <w:r>
        <w:t>Sectoral Scope and Project Type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Sectoral Scope and Project Type]; [CORPUS: VCS_Bergama_Project-Description.norm, Sectoral Scope and Project Type]; [CORPUS: VCS_Inegol_Project-Description.norm, Sectoral Scope and Project Type]; [CORPUS: VCS_Inegol_Project-Description.norm, Sectoral Scope and Project Type]; [CORPUS: VCS_Soc_Son_Project-Description.norm, Sectoral Scope and Project Type]</w:t>
      </w:r>
    </w:p>
    <w:p>
      <w:pPr>
        <w:pStyle w:val="Quote"/>
      </w:pPr>
      <w:r>
        <w:rPr>
          <w:b/>
        </w:rPr>
        <w:t xml:space="preserve">Assumption note: </w:t>
      </w:r>
      <w:r>
        <w:t>1 synthetic/demo-backed input(s) affect this section. See Assumption Appendix for field-level details.</w:t>
      </w:r>
    </w:p>
    <w:p>
      <w:r>
        <w:t>Section 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Eligibility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demo_curated=6</w:t>
            </w:r>
          </w:p>
        </w:tc>
      </w:tr>
    </w:tbl>
    <w:p>
      <w:pPr>
        <w:pStyle w:val="Quote"/>
      </w:pPr>
      <w:r>
        <w:rPr>
          <w:b/>
        </w:rPr>
        <w:t xml:space="preserve">Retrieved provenance: </w:t>
      </w:r>
      <w:r>
        <w:t>[CORPUS: VCS_Bergama_Project-Description.norm, Project Eligibility]; [CORPUS: VCS_Bergama_Project-Description.norm, Project Eligibility]; [CORPUS: VCS_Inegol_Project-Description.norm, Project Eligibility]; [CORPUS: VCS_Inegol_Project-Description.norm, Project Eligibility]; [CORPUS: VCS_Soc_Son_Project-Description.norm, Project Eligibility]</w:t>
      </w:r>
    </w:p>
    <w:p>
      <w:pPr>
        <w:pStyle w:val="Quote"/>
      </w:pPr>
      <w:r>
        <w:rPr>
          <w:b/>
        </w:rPr>
        <w:t xml:space="preserve">Assumption note: </w:t>
      </w:r>
      <w:r>
        <w:t>6 synthetic/demo-backed input(s) affect this section. See Assumption Appendix for field-level details.</w:t>
      </w:r>
    </w:p>
    <w:p>
      <w:r>
        <w:t>Section 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Design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demo_curated=5</w:t>
            </w:r>
          </w:p>
        </w:tc>
      </w:tr>
    </w:tbl>
    <w:p>
      <w:pPr>
        <w:pStyle w:val="Quote"/>
      </w:pPr>
      <w:r>
        <w:rPr>
          <w:b/>
        </w:rPr>
        <w:t xml:space="preserve">Retrieved provenance: </w:t>
      </w:r>
      <w:r>
        <w:t>[CORPUS: VCS_Bergama_Project-Description.norm, Project Design]; [CORPUS: VCS_Bergama_Project-Description.norm, Project Design]; [CORPUS: VCS_Inegol_Project-Description.norm, Project Design]; [CORPUS: VCS_Inegol_Project-Description.norm, Project Design]; [CORPUS: VCS_Soc_Son_Project-Description.norm, Project Design]</w:t>
      </w:r>
    </w:p>
    <w:p>
      <w:pPr>
        <w:pStyle w:val="Quote"/>
      </w:pPr>
      <w:r>
        <w:rPr>
          <w:b/>
        </w:rPr>
        <w:t xml:space="preserve">Assumption note: </w:t>
      </w:r>
      <w:r>
        <w:t>5 synthetic/demo-backed input(s) affect this section. See Assumption Appendix for field-level details.</w:t>
      </w:r>
    </w:p>
    <w:p>
      <w:r>
        <w:t>Section 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Proponent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Proponent]; [CORPUS: VCS_Bergama_Project-Description.norm, Project Proponent]; [CORPUS: VCS_Inegol_Project-Description.norm, Project Proponent]; [CORPUS: VCS_Inegol_Project-Description.norm, Project Proponent]; [CORPUS: VCS_Soc_Son_Project-Description.norm, Project Proponent]</w:t>
      </w:r>
    </w:p>
    <w:p>
      <w:pPr>
        <w:pStyle w:val="Quote"/>
      </w:pPr>
      <w:r>
        <w:rPr>
          <w:b/>
        </w:rPr>
        <w:t xml:space="preserve">Assumption note: </w:t>
      </w:r>
      <w:r>
        <w:t>2 synthetic/demo-backed input(s) affect this section. See Assumption Appendix for field-level details.</w:t>
      </w:r>
    </w:p>
    <w:p>
      <w:r>
        <w:t>Section 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Entities Involved in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Other Entities Involved in the Project]; [CORPUS: VCS_Bergama_Project-Description.norm, Other Entities Involved in the Project]; [CORPUS: VCS_Inegol_Project-Description.norm, Other Entities Involved in the Project]; [CORPUS: VCS_Inegol_Project-Description.norm, Other Entities Involved in the Project]; [CORPUS: VCS_Soc_Son_Project-Description.norm, Other Entities Involved in the Project]</w:t>
      </w:r>
    </w:p>
    <w:p>
      <w:pPr>
        <w:pStyle w:val="Quote"/>
      </w:pPr>
      <w:r>
        <w:rPr>
          <w:b/>
        </w:rPr>
        <w:t xml:space="preserve">Assumption note: </w:t>
      </w:r>
      <w:r>
        <w:t>1 synthetic/demo-backed input(s) affect this section. See Assumption Appendix for field-level details.</w:t>
      </w:r>
    </w:p>
    <w:p>
      <w:r>
        <w:t>Section 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Ownership</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Ownership]; [CORPUS: VCS_Bergama_Project-Description.norm, Ownership]; [CORPUS: VCS_Inegol_Project-Description.norm, Ownership]; [CORPUS: VCS_Inegol_Project-Description.norm, Ownership]; [CORPUS: VCS_Soc_Son_Project-Description.norm, Ownership]</w:t>
      </w:r>
    </w:p>
    <w:p>
      <w:pPr>
        <w:pStyle w:val="Quote"/>
      </w:pPr>
      <w:r>
        <w:rPr>
          <w:b/>
        </w:rPr>
        <w:t xml:space="preserve">Assumption note: </w:t>
      </w:r>
      <w:r>
        <w:t>2 synthetic/demo-backed input(s) affect this section. See Assumption Appendix for field-level details.</w:t>
      </w:r>
    </w:p>
    <w:p>
      <w:r>
        <w:t>Section 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Start Date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Project Start Date]; [CORPUS: VCS_Bergama_Project-Description.norm, Project Start Date]; [CORPUS: VCS_Inegol_Project-Description.norm, Project Start Date]; [CORPUS: VCS_Inegol_Project-Description.norm, Project Start Date]; [CORPUS: VCS_Soc_Son_Project-Description.norm, Project Start Date]</w:t>
      </w:r>
    </w:p>
    <w:p>
      <w:pPr>
        <w:pStyle w:val="Quote"/>
      </w:pPr>
      <w:r>
        <w:rPr>
          <w:b/>
        </w:rPr>
        <w:t xml:space="preserve">Assumption note: </w:t>
      </w:r>
      <w:r>
        <w:t>1 synthetic/demo-backed input(s) affect this section. See Assumption Appendix for field-level details.</w:t>
      </w:r>
    </w:p>
    <w:p>
      <w:r>
        <w:t>Section 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Crediting Period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Crediting Period]; [CORPUS: VCS_Bergama_Project-Description.norm, Project Crediting Period]; [CORPUS: VCS_Inegol_Project-Description.norm, Project Crediting Period]; [CORPUS: VCS_Inegol_Project-Description.norm, Project Crediting Period]; [CORPUS: VCS_Soc_Son_Project-Description.norm, Project Crediting Period]</w:t>
      </w:r>
    </w:p>
    <w:p>
      <w:pPr>
        <w:pStyle w:val="Quote"/>
      </w:pPr>
      <w:r>
        <w:rPr>
          <w:b/>
        </w:rPr>
        <w:t xml:space="preserve">Assumption note: </w:t>
      </w:r>
      <w:r>
        <w:t>2 synthetic/demo-backed input(s) affect this section. See Assumption Appendix for field-level details.</w:t>
      </w:r>
    </w:p>
    <w:p>
      <w:r>
        <w:t>Section 1.9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Scale and Estimated GHG Emission Reductions or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demo_curated=13</w:t>
            </w:r>
          </w:p>
        </w:tc>
      </w:tr>
    </w:tbl>
    <w:p>
      <w:pPr>
        <w:pStyle w:val="Quote"/>
      </w:pPr>
      <w:r>
        <w:rPr>
          <w:b/>
        </w:rPr>
        <w:t xml:space="preserve">Retrieved provenance: </w:t>
      </w:r>
      <w:r>
        <w:t>[CORPUS: VCS_Bergama_Project-Description.norm, Project Scale and Estimated GHG Emission Reductions or Removals]; [CORPUS: VCS_Bergama_Project-Description.norm, Project Scale and Estimated GHG Emission Reductions or Removals]; [CORPUS: VCS_Inegol_Project-Description.norm, Project Scale and Estimated GHG Emission Reductions or Removals]; [CORPUS: VCS_Inegol_Project-Description.norm, Project Scale and Estimated GHG Emission Reductions or Removals]; [CORPUS: VCS_Soc_Son_Project-Description.norm, Project Scale and Estimated GHG Emission Reductions or Removals]</w:t>
      </w:r>
    </w:p>
    <w:p>
      <w:pPr>
        <w:pStyle w:val="Quote"/>
      </w:pPr>
      <w:r>
        <w:rPr>
          <w:b/>
        </w:rPr>
        <w:t xml:space="preserve">Assumption note: </w:t>
      </w:r>
      <w:r>
        <w:t>13 synthetic/demo-backed input(s) affect this section. See Assumption Appendix for field-level details.</w:t>
      </w:r>
    </w:p>
    <w:p>
      <w:r>
        <w:t>The synthetic demo project is modeled with installed capacity, annual waste throughput, and electricity generation parameters drawn from the curated demo assumptions register. The draft carries estimated net emission reductions across the defined crediting period.</w:t>
      </w:r>
    </w:p>
    <w:p>
      <w:pPr>
        <w:pStyle w:val="Heading2"/>
      </w:pPr>
      <w:r>
        <w:t>Description of the Project Activity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demo_curated=19</w:t>
            </w:r>
          </w:p>
        </w:tc>
      </w:tr>
    </w:tbl>
    <w:p>
      <w:pPr>
        <w:pStyle w:val="Quote"/>
      </w:pPr>
      <w:r>
        <w:rPr>
          <w:b/>
        </w:rPr>
        <w:t xml:space="preserve">Retrieved provenance: </w:t>
      </w:r>
      <w:r>
        <w:t>[CORPUS: VCS_Bergama_Project-Description.norm, Description of the Project Activity]; [CORPUS: VCS_Bergama_Project-Description.norm, Description of the Project Activity]; [CORPUS: VCS_Inegol_Project-Description.norm, Description of the Project Activity]; [CORPUS: VCS_Inegol_Project-Description.norm, Description of the Project Activity]; [CORPUS: VCS_Soc_Son_Project-Description.norm, Description of the Project Activity]</w:t>
      </w:r>
    </w:p>
    <w:p>
      <w:pPr>
        <w:pStyle w:val="Quote"/>
      </w:pPr>
      <w:r>
        <w:rPr>
          <w:b/>
        </w:rPr>
        <w:t xml:space="preserve">Assumption note: </w:t>
      </w:r>
      <w:r>
        <w:t>19 synthetic/demo-backed input(s) affect this section. See Assumption Appendix for field-level details.</w:t>
      </w:r>
    </w:p>
    <w:p>
      <w:r>
        <w:t>Section 1.11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Location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demo_curated=7</w:t>
            </w:r>
          </w:p>
        </w:tc>
      </w:tr>
    </w:tbl>
    <w:p>
      <w:pPr>
        <w:pStyle w:val="Quote"/>
      </w:pPr>
      <w:r>
        <w:rPr>
          <w:b/>
        </w:rPr>
        <w:t xml:space="preserve">Retrieved provenance: </w:t>
      </w:r>
      <w:r>
        <w:t>[CORPUS: VCS_Bergama_Project-Description.norm, Project Location]; [CORPUS: VCS_Bergama_Project-Description.norm, Project Location]; [CORPUS: VCS_Inegol_Project-Description.norm, Project Location]; [CORPUS: VCS_Inegol_Project-Description.norm, Project Location]; [CORPUS: VCS_Soc_Son_Project-Description.norm, Project Location]</w:t>
      </w:r>
    </w:p>
    <w:p>
      <w:pPr>
        <w:pStyle w:val="Quote"/>
      </w:pPr>
      <w:r>
        <w:rPr>
          <w:b/>
        </w:rPr>
        <w:t xml:space="preserve">Assumption note: </w:t>
      </w:r>
      <w:r>
        <w:t>7 synthetic/demo-backed input(s) affect this section. See Assumption Appendix for field-level details.</w:t>
      </w:r>
    </w:p>
    <w:p>
      <w:r>
        <w:t>Section 1.12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Conditions Prior to Project Initiation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demo_curated=20</w:t>
            </w:r>
          </w:p>
        </w:tc>
      </w:tr>
    </w:tbl>
    <w:p>
      <w:pPr>
        <w:pStyle w:val="Quote"/>
      </w:pPr>
      <w:r>
        <w:rPr>
          <w:b/>
        </w:rPr>
        <w:t xml:space="preserve">Retrieved provenance: </w:t>
      </w:r>
      <w:r>
        <w:t>[CORPUS: VCS_Bergama_Project-Description.norm, Conditions Prior to Project Initiation]; [CORPUS: VCS_Bergama_Project-Description.norm, Conditions Prior to Project Initiation]; [CORPUS: VCS_Inegol_Project-Description.norm, Conditions Prior to Project Initiation]; [CORPUS: VCS_Inegol_Project-Description.norm, Conditions Prior to Project Initiation]; [CORPUS: VCS_Soc_Son_Project-Description.norm, Conditions Prior to Project Initiation]</w:t>
      </w:r>
    </w:p>
    <w:p>
      <w:pPr>
        <w:pStyle w:val="Quote"/>
      </w:pPr>
      <w:r>
        <w:rPr>
          <w:b/>
        </w:rPr>
        <w:t xml:space="preserve">Assumption note: </w:t>
      </w:r>
      <w:r>
        <w:t>20 synthetic/demo-backed input(s) affect this section. See Assumption Appendix for field-level details.</w:t>
      </w:r>
    </w:p>
    <w:p>
      <w:r>
        <w:t>Section 1.13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Compliance with Laws, Statutes and Other Regulatory Frameworks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demo_curated=3</w:t>
            </w:r>
          </w:p>
        </w:tc>
      </w:tr>
    </w:tbl>
    <w:p>
      <w:pPr>
        <w:pStyle w:val="Quote"/>
      </w:pPr>
      <w:r>
        <w:rPr>
          <w:b/>
        </w:rPr>
        <w:t xml:space="preserve">Retrieved provenance: </w:t>
      </w:r>
      <w:r>
        <w:t>[CORPUS: VCS_Bergama_Project-Description.norm, Compliance with Laws, Statutes and Other Regulatory Frameworks]; [CORPUS: VCS_Bergama_Project-Description.norm, Compliance with Laws, Statutes and Other Regulatory Frameworks]; [CORPUS: VCS_Inegol_Project-Description.norm, Compliance with Laws, Statutes and Other Regulatory Frameworks]; [CORPUS: VCS_Inegol_Project-Description.norm, Compliance with Laws, Statutes and Other Regulatory Frameworks]; [CORPUS: VCS_Soc_Son_Project-Description.norm, Compliance with Laws, Statutes and Other Regulatory Frameworks]</w:t>
      </w:r>
    </w:p>
    <w:p>
      <w:pPr>
        <w:pStyle w:val="Quote"/>
      </w:pPr>
      <w:r>
        <w:rPr>
          <w:b/>
        </w:rPr>
        <w:t xml:space="preserve">Assumption note: </w:t>
      </w:r>
      <w:r>
        <w:t>3 synthetic/demo-backed input(s) affect this section. See Assumption Appendix for field-level details.</w:t>
      </w:r>
    </w:p>
    <w:p>
      <w:r>
        <w:t>Section 1.14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Participation under Other GHG Programs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Participation under Other GHG Programs]; [CORPUS: VCS_Bergama_Project-Description.norm, Participation under Other GHG Programs]; [CORPUS: VCS_Inegol_Project-Description.norm, Participation under Other GHG Programs]; [CORPUS: VCS_Inegol_Project-Description.norm, Participation under Other GHG Programs]; [CORPUS: VCS_Soc_Son_Project-Description.norm, Participation under Other GHG Programs]</w:t>
      </w:r>
    </w:p>
    <w:p>
      <w:pPr>
        <w:pStyle w:val="Quote"/>
      </w:pPr>
      <w:r>
        <w:rPr>
          <w:b/>
        </w:rPr>
        <w:t xml:space="preserve">Assumption note: </w:t>
      </w:r>
      <w:r>
        <w:t>2 synthetic/demo-backed input(s) affect this section. See Assumption Appendix for field-level details.</w:t>
      </w:r>
    </w:p>
    <w:p>
      <w:r>
        <w:t>Section 1.15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Forms of Credit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Other Forms of Credit]; [CORPUS: VCS_Bergama_Project-Description.norm, Other Forms of Credit]; [CORPUS: VCS_Inegol_Project-Description.norm, Other Forms of Credit]; [CORPUS: VCS_Inegol_Project-Description.norm, Other Forms of Credit]; [CORPUS: VCS_Soc_Son_Project-Description.norm, Other Forms of Credit]</w:t>
      </w:r>
    </w:p>
    <w:p>
      <w:pPr>
        <w:pStyle w:val="Quote"/>
      </w:pPr>
      <w:r>
        <w:rPr>
          <w:b/>
        </w:rPr>
        <w:t xml:space="preserve">Assumption note: </w:t>
      </w:r>
      <w:r>
        <w:t>1 synthetic/demo-backed input(s) affect this section. See Assumption Appendix for field-level details.</w:t>
      </w:r>
    </w:p>
    <w:p>
      <w:r>
        <w:t>Section 1.16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Sustainable Development Contributions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Sustainable Development Contributions]; [CORPUS: VCS_Bergama_Project-Description.norm, Sustainable Development Contributions]; [CORPUS: VCS_Bergama_Project-Description.norm, Sustainable Development Contributions]; [CORPUS: VCS_Bergama_Project-Description.norm, Sustainable Development Contributions]; [CORPUS: VCS_Inegol_Project-Description.norm, Sustainable Development Contributions]</w:t>
      </w:r>
    </w:p>
    <w:p>
      <w:r>
        <w:t>Section 1.17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Additional Information Relevant to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demo_curated=18</w:t>
            </w:r>
          </w:p>
        </w:tc>
      </w:tr>
    </w:tbl>
    <w:p>
      <w:pPr>
        <w:pStyle w:val="Quote"/>
      </w:pPr>
      <w:r>
        <w:rPr>
          <w:b/>
        </w:rPr>
        <w:t xml:space="preserve">Retrieved provenance: </w:t>
      </w:r>
      <w:r>
        <w:t>[CORPUS: VCS_Bergama_Project-Description.norm, Additional Information Relevant to the Project]; [CORPUS: VCS_Bergama_Project-Description.norm, Additional Information Relevant to the Project]; [CORPUS: VCS_Inegol_Project-Description.norm, Additional Information Relevant to the Project]; [CORPUS: VCS_Inegol_Project-Description.norm, Additional Information Relevant to the Project]; [CORPUS: VCS_Soc_Son_Project-Description.norm, Additional Information Relevant to the Project]</w:t>
      </w:r>
    </w:p>
    <w:p>
      <w:pPr>
        <w:pStyle w:val="Quote"/>
      </w:pPr>
      <w:r>
        <w:rPr>
          <w:b/>
        </w:rPr>
        <w:t xml:space="preserve">Assumption note: </w:t>
      </w:r>
      <w:r>
        <w:t>18 synthetic/demo-backed input(s) affect this section. See Assumption Appendix for field-level details.</w:t>
      </w:r>
    </w:p>
    <w:p>
      <w:r>
        <w:t>Section 1.18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2 SAFEGUARDS</w:t>
      </w:r>
    </w:p>
    <w:p>
      <w:pPr>
        <w:pStyle w:val="Heading2"/>
      </w:pPr>
      <w:r>
        <w:t>No Net Harm</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No Net Harm]; [CORPUS: VCS_Bergama_Project-Description.norm, No Net Harm]; [CORPUS: VCS_Inegol_Project-Description.norm, No Net Harm]; [CORPUS: VCS_Inegol_Project-Description.norm, No Net Harm]; [CORPUS: VCS_Soc_Son_Project-Description.norm, No Net Harm]</w:t>
      </w:r>
    </w:p>
    <w:p>
      <w:pPr>
        <w:pStyle w:val="Quote"/>
      </w:pPr>
      <w:r>
        <w:rPr>
          <w:b/>
        </w:rPr>
        <w:t xml:space="preserve">Assumption note: </w:t>
      </w:r>
      <w:r>
        <w:t>1 synthetic/demo-backed input(s) affect this section. See Assumption Appendix for field-level details.</w:t>
      </w:r>
    </w:p>
    <w:p>
      <w:r>
        <w:t>Section 2.1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Local Stakeholder Consultation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Local Stakeholder Consultation]; [CORPUS: VCS_Bergama_Project-Description.norm, Local Stakeholder Consultation]; [CORPUS: VCS_Inegol_Project-Description.norm, Local Stakeholder Consultation]; [CORPUS: VCS_Inegol_Project-Description.norm, Local Stakeholder Consultation]; [CORPUS: VCS_Soc_Son_Project-Description.norm, Local Stakeholder Consultation]</w:t>
      </w:r>
    </w:p>
    <w:p>
      <w:pPr>
        <w:pStyle w:val="Quote"/>
      </w:pPr>
      <w:r>
        <w:rPr>
          <w:b/>
        </w:rPr>
        <w:t xml:space="preserve">Assumption note: </w:t>
      </w:r>
      <w:r>
        <w:t>2 synthetic/demo-backed input(s) affect this section. See Assumption Appendix for field-level details.</w:t>
      </w:r>
    </w:p>
    <w:p>
      <w:r>
        <w:t>Section 2.2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Environmental Impact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Environmental Impact]; [CORPUS: VCS_Bergama_Project-Description.norm, Environmental Impact]; [CORPUS: VCS_Inegol_Project-Description.norm, Environmental Impact]; [CORPUS: VCS_Inegol_Project-Description.norm, Environmental Impact]; [CORPUS: VCS_Inegol_Project-Description.norm, Environmental Impact]</w:t>
      </w:r>
    </w:p>
    <w:p>
      <w:pPr>
        <w:pStyle w:val="Quote"/>
      </w:pPr>
      <w:r>
        <w:rPr>
          <w:b/>
        </w:rPr>
        <w:t xml:space="preserve">Assumption note: </w:t>
      </w:r>
      <w:r>
        <w:t>2 synthetic/demo-backed input(s) affect this section. See Assumption Appendix for field-level details.</w:t>
      </w:r>
    </w:p>
    <w:p>
      <w:r>
        <w:t>Section 2.3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Public Comments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Public Comments]; [CORPUS: VCS_Bergama_Project-Description.norm, Public Comments]; [CORPUS: VCS_Inegol_Project-Description.norm, Public Comments]; [CORPUS: VCS_Inegol_Project-Description.norm, Public Comments]; [CORPUS: VCS_Soc_Son_Project-Description.norm, Public Comments]</w:t>
      </w:r>
    </w:p>
    <w:p>
      <w:pPr>
        <w:pStyle w:val="Quote"/>
      </w:pPr>
      <w:r>
        <w:rPr>
          <w:b/>
        </w:rPr>
        <w:t xml:space="preserve">Assumption note: </w:t>
      </w:r>
      <w:r>
        <w:t>1 synthetic/demo-backed input(s) affect this section. See Assumption Appendix for field-level details.</w:t>
      </w:r>
    </w:p>
    <w:p>
      <w:r>
        <w:t>Section 2.4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AFOLU-Specific Safeguards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demo_curated=5</w:t>
            </w:r>
          </w:p>
        </w:tc>
      </w:tr>
    </w:tbl>
    <w:p>
      <w:pPr>
        <w:pStyle w:val="Quote"/>
      </w:pPr>
      <w:r>
        <w:rPr>
          <w:b/>
        </w:rPr>
        <w:t xml:space="preserve">Retrieved provenance: </w:t>
      </w:r>
      <w:r>
        <w:t>[CORPUS: VCS_Bergama_Project-Description.norm, AFOLU-Specific Safeguards]; [CORPUS: VCS_Inegol_Project-Description.norm, AFOLU-Specific Safeguards]; [CORPUS: VCS_Soc_Son_Project-Description.norm, AFOLU-Specific Safeguards]</w:t>
      </w:r>
    </w:p>
    <w:p>
      <w:pPr>
        <w:pStyle w:val="Quote"/>
      </w:pPr>
      <w:r>
        <w:rPr>
          <w:b/>
        </w:rPr>
        <w:t xml:space="preserve">Assumption note: </w:t>
      </w:r>
      <w:r>
        <w:t>5 synthetic/demo-backed input(s) affect this section. See Assumption Appendix for field-level details.</w:t>
      </w:r>
    </w:p>
    <w:p>
      <w:r>
        <w:t>Section 2.5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3 APPLICATION OF METHODOLOGY</w:t>
      </w:r>
    </w:p>
    <w:p>
      <w:pPr>
        <w:pStyle w:val="Heading2"/>
      </w:pPr>
      <w:r>
        <w:t>Title and Reference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Title and Reference of Methodology]; [CORPUS: VCS_Bergama_Project-Description.norm, Title and Reference of Methodology]; [CORPUS: VCS_Inegol_Project-Description.norm, Title and Reference of Methodology]; [CORPUS: VCS_Inegol_Project-Description.norm, Title and Reference of Methodology]; [CORPUS: VCS_Soc_Son_Project-Description.norm, Title and Reference of Methodology]</w:t>
      </w:r>
    </w:p>
    <w:p>
      <w:pPr>
        <w:pStyle w:val="Quote"/>
      </w:pPr>
      <w:r>
        <w:rPr>
          <w:b/>
        </w:rPr>
        <w:t xml:space="preserve">Assumption note: </w:t>
      </w:r>
      <w:r>
        <w:t>1 synthetic/demo-backed input(s) affect this section. See Assumption Appendix for field-level details.</w:t>
      </w:r>
    </w:p>
    <w:p>
      <w:r>
        <w:t>Section 3.1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Applicability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demo_curated=6</w:t>
            </w:r>
          </w:p>
        </w:tc>
      </w:tr>
    </w:tbl>
    <w:p>
      <w:pPr>
        <w:pStyle w:val="Quote"/>
      </w:pPr>
      <w:r>
        <w:rPr>
          <w:b/>
        </w:rPr>
        <w:t xml:space="preserve">Retrieved provenance: </w:t>
      </w:r>
      <w:r>
        <w:t>[CORPUS: VCS_Bergama_Project-Description.norm, Applicability of Methodology]; [CORPUS: VCS_Bergama_Project-Description.norm, Applicability of Methodology]; [CORPUS: VCS_Inegol_Project-Description.norm, Applicability of Methodology]; [CORPUS: VCS_Inegol_Project-Description.norm, Applicability of Methodology]; [CORPUS: VCS_Soc_Son_Project-Description.norm, Applicability of Methodology]</w:t>
      </w:r>
    </w:p>
    <w:p>
      <w:pPr>
        <w:pStyle w:val="Quote"/>
      </w:pPr>
      <w:r>
        <w:rPr>
          <w:b/>
        </w:rPr>
        <w:t xml:space="preserve">Assumption note: </w:t>
      </w:r>
      <w:r>
        <w:t>6 synthetic/demo-backed input(s) affect this section. See Assumption Appendix for field-level details.</w:t>
      </w:r>
    </w:p>
    <w:p>
      <w:r>
        <w:t>Section 3.2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Boundary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demo_curated=12</w:t>
            </w:r>
          </w:p>
        </w:tc>
      </w:tr>
    </w:tbl>
    <w:p>
      <w:pPr>
        <w:pStyle w:val="Quote"/>
      </w:pPr>
      <w:r>
        <w:rPr>
          <w:b/>
        </w:rPr>
        <w:t xml:space="preserve">Retrieved provenance: </w:t>
      </w:r>
      <w:r>
        <w:t>[CORPUS: VCS_Bergama_Project-Description.norm, Project Boundary]; [CORPUS: VCS_Bergama_Project-Description.norm, Project Boundary]; [CORPUS: VCS_Inegol_Project-Description.norm, Project Boundary]; [CORPUS: VCS_Inegol_Project-Description.norm, Project Boundary]; [CORPUS: VCS_Soc_Son_Project-Description.norm, Project Boundary]</w:t>
      </w:r>
    </w:p>
    <w:p>
      <w:pPr>
        <w:pStyle w:val="Quote"/>
      </w:pPr>
      <w:r>
        <w:rPr>
          <w:b/>
        </w:rPr>
        <w:t xml:space="preserve">Assumption note: </w:t>
      </w:r>
      <w:r>
        <w:t>12 synthetic/demo-backed input(s) affect this section. See Assumption Appendix for field-level details.</w:t>
      </w:r>
    </w:p>
    <w:p>
      <w:r>
        <w:t>The project boundary includes the project site and associated waste treatment facilities. Included emission sources cover waste handling, energy generation, and biogas combustion. Excluded emission sources are limited to off-site transport beyond the project gate. The geographic boundary is defined by GPS coordinates of the facility perimeter. The temporal boundary covers the crediting period from start date to end date. The project type is a single project (not a Programme of Activities).</w:t>
      </w:r>
    </w:p>
    <w:p>
      <w:pPr>
        <w:pStyle w:val="Heading2"/>
      </w:pPr>
      <w:r>
        <w:t>Baseline Scenario</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demo_curated=20</w:t>
            </w:r>
          </w:p>
        </w:tc>
      </w:tr>
    </w:tbl>
    <w:p>
      <w:pPr>
        <w:pStyle w:val="Quote"/>
      </w:pPr>
      <w:r>
        <w:rPr>
          <w:b/>
        </w:rPr>
        <w:t xml:space="preserve">Retrieved provenance: </w:t>
      </w:r>
      <w:r>
        <w:t>[CORPUS: VCS_Bergama_Project-Description.norm, Baseline Scenario]; [CORPUS: VCS_Bergama_Project-Description.norm, Baseline Scenario]; [CORPUS: VCS_Inegol_Project-Description.norm, Baseline Scenario]; [CORPUS: VCS_Inegol_Project-Description.norm, Baseline Scenario]; [CORPUS: VCS_Soc_Son_Project-Description.norm, Baseline Scenario]</w:t>
      </w:r>
    </w:p>
    <w:p>
      <w:pPr>
        <w:pStyle w:val="Quote"/>
      </w:pPr>
      <w:r>
        <w:rPr>
          <w:b/>
        </w:rPr>
        <w:t xml:space="preserve">Assumption note: </w:t>
      </w:r>
      <w:r>
        <w:t>20 synthetic/demo-backed input(s) affect this section. See Assumption Appendix for field-level details.</w:t>
      </w:r>
    </w:p>
    <w:p>
      <w:r>
        <w:t>In this synthetic demo baseline, the municipal waste stream would otherwise continue to be disposed of at landfill sites. The demo assumes landfill disposal as the baseline management practice and uses deterministic baseline, project, and leakage values so the narrative remains aligned with the quantification sections.</w:t>
      </w:r>
    </w:p>
    <w:p>
      <w:pPr>
        <w:pStyle w:val="Heading2"/>
      </w:pPr>
      <w:r>
        <w:t>Additionality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demo_curated=19</w:t>
            </w:r>
          </w:p>
        </w:tc>
      </w:tr>
    </w:tbl>
    <w:p>
      <w:pPr>
        <w:pStyle w:val="Quote"/>
      </w:pPr>
      <w:r>
        <w:rPr>
          <w:b/>
        </w:rPr>
        <w:t xml:space="preserve">Retrieved provenance: </w:t>
      </w:r>
      <w:r>
        <w:t>[CORPUS: VCS_Bergama_Project-Description.norm, Additionality]; [CORPUS: VCS_Bergama_Project-Description.norm, Additionality]; [CORPUS: VCS_Inegol_Project-Description.norm, Additionality]; [CORPUS: VCS_Inegol_Project-Description.norm, Additionality]; [CORPUS: VCS_Soc_Son_Project-Description.norm, Additionality]</w:t>
      </w:r>
    </w:p>
    <w:p>
      <w:pPr>
        <w:pStyle w:val="Quote"/>
      </w:pPr>
      <w:r>
        <w:rPr>
          <w:b/>
        </w:rPr>
        <w:t xml:space="preserve">Assumption note: </w:t>
      </w:r>
      <w:r>
        <w:t>19 synthetic/demo-backed input(s) affect this section. See Assumption Appendix for field-level details.</w:t>
      </w:r>
    </w:p>
    <w:p>
      <w:r>
        <w:t>This synthetic demo presents additionality as a client-readable narrative rather than a validator-ready claim. The sample assumes the project requires dedicated waste-to-energy investment, specialized operating capability, and municipal coordination that would not be represented by the baseline landfill pathway alone.</w:t>
      </w:r>
    </w:p>
    <w:p>
      <w:pPr>
        <w:pStyle w:val="Heading2"/>
      </w:pPr>
      <w:r>
        <w:t>Methodology Deviations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Methodology Deviations]; [CORPUS: VCS_Bergama_Project-Description.norm, Methodology Deviations]; [CORPUS: VCS_Inegol_Project-Description.norm, Methodology Deviations]; [CORPUS: VCS_Inegol_Project-Description.norm, Methodology Deviations]; [CORPUS: VCS_Soc_Son_Project-Description.norm, Methodology Deviations]</w:t>
      </w:r>
    </w:p>
    <w:p>
      <w:r>
        <w:t>Section 3.6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4 QUANTIFICATION OF GHG EMISSION REDUCTIONS AND REMOVALS</w:t>
      </w:r>
    </w:p>
    <w:p>
      <w:pPr>
        <w:pStyle w:val="Heading2"/>
      </w:pPr>
      <w:r>
        <w:t>Baseline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demo_curated=10</w:t>
            </w:r>
          </w:p>
        </w:tc>
      </w:tr>
    </w:tbl>
    <w:p>
      <w:pPr>
        <w:pStyle w:val="Quote"/>
      </w:pPr>
      <w:r>
        <w:rPr>
          <w:b/>
        </w:rPr>
        <w:t xml:space="preserve">Retrieved provenance: </w:t>
      </w:r>
      <w:r>
        <w:t>[CORPUS: VCS_Bergama_Project-Description.norm, Baseline Emissions]; [CORPUS: VCS_Bergama_Project-Description.norm, Baseline Emissions]; [CORPUS: VCS_Bergama_Project-Description.norm, Baseline Emissions]; [CORPUS: VCS_Bergama_Project-Description.norm, Baseline Emissions]; [CORPUS: VCS_Inegol_Project-Description.norm, Baseline Emissions]</w:t>
      </w:r>
    </w:p>
    <w:p>
      <w:pPr>
        <w:pStyle w:val="Quote"/>
      </w:pPr>
      <w:r>
        <w:rPr>
          <w:b/>
        </w:rPr>
        <w:t xml:space="preserve">Assumption note: </w:t>
      </w:r>
      <w:r>
        <w:t>10 synthetic/demo-backed input(s) affect this section. See Assumption Appendix for field-level details.</w:t>
      </w:r>
    </w:p>
    <w:p>
      <w:r>
        <w:t>Baseline emissions in the synthetic demo are set based on the curated assumptions register. This value is carried consistently across the assumptions companion and the quantification narrative so the client-demo artifact remains internally aligned.</w:t>
      </w:r>
    </w:p>
    <w:p>
      <w:pPr>
        <w:pStyle w:val="Heading2"/>
      </w:pPr>
      <w:r>
        <w:t>Project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Emissions]; [CORPUS: VCS_Bergama_Project-Description.norm, Project Emissions]; [CORPUS: VCS_Bergama_Project-Description.norm, Project Emissions]; [CORPUS: VCS_Bergama_Project-Description.norm, Project Emissions]; [CORPUS: VCS_Inegol_Project-Description.norm, Project Emissions]</w:t>
      </w:r>
    </w:p>
    <w:p>
      <w:pPr>
        <w:pStyle w:val="Quote"/>
      </w:pPr>
      <w:r>
        <w:rPr>
          <w:b/>
        </w:rPr>
        <w:t xml:space="preserve">Assumption note: </w:t>
      </w:r>
      <w:r>
        <w:t>2 synthetic/demo-backed input(s) affect this section. See Assumption Appendix for field-level details.</w:t>
      </w:r>
    </w:p>
    <w:p>
      <w:r>
        <w:t>Project emissions in the synthetic demo are set based on the curated assumptions register, representing the modeled emissions associated with facility operation and energy recovery. The value is deterministic and used consistently throughout the sample.</w:t>
      </w:r>
    </w:p>
    <w:p>
      <w:pPr>
        <w:pStyle w:val="Heading2"/>
      </w:pPr>
      <w:r>
        <w:t>Leakage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Leakage]; [CORPUS: VCS_Bergama_Project-Description.norm, Leakage]; [CORPUS: VCS_Bergama_Project-Description.norm, Leakage]; [CORPUS: VCS_Bergama_Project-Description.norm, Leakage]; [CORPUS: VCS_Inegol_Project-Description.norm, Leakage]</w:t>
      </w:r>
    </w:p>
    <w:p>
      <w:pPr>
        <w:pStyle w:val="Quote"/>
      </w:pPr>
      <w:r>
        <w:rPr>
          <w:b/>
        </w:rPr>
        <w:t xml:space="preserve">Assumption note: </w:t>
      </w:r>
      <w:r>
        <w:t>8 synthetic/demo-backed input(s) affect this section. See Assumption Appendix for field-level details.</w:t>
      </w:r>
    </w:p>
    <w:p>
      <w:r>
        <w:t>Section 4.3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Net GHG Emission Reductions and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Net GHG Emission Reductions and Removals]; [CORPUS: VCS_Bergama_Project-Description.norm, Net GHG Emission Reductions and Removals]; [CORPUS: VCS_Bergama_Project-Description.norm, Net GHG Emission Reductions and Removals]; [CORPUS: VCS_Bergama_Project-Description.norm, Net GHG Emission Reductions and Removals]; [CORPUS: VCS_Inegol_Project-Description.norm, Net GHG Emission Reductions and Removals]</w:t>
      </w:r>
    </w:p>
    <w:p>
      <w:pPr>
        <w:pStyle w:val="Quote"/>
      </w:pPr>
      <w:r>
        <w:rPr>
          <w:b/>
        </w:rPr>
        <w:t xml:space="preserve">Assumption note: </w:t>
      </w:r>
      <w:r>
        <w:t>8 synthetic/demo-backed input(s) affect this section. See Assumption Appendix for field-level details.</w:t>
      </w:r>
    </w:p>
    <w:p>
      <w:r>
        <w:t>Net greenhouse gas emission reductions in the synthetic demo are calculated after accounting for baseline emissions, project emissions, and leakage. Across the crediting period, the synthetic sample totals are derived deterministically from annual values.</w:t>
      </w:r>
    </w:p>
    <w:p>
      <w:pPr>
        <w:pStyle w:val="Heading1"/>
      </w:pPr>
      <w:r>
        <w:t>5 MONITORING</w:t>
      </w:r>
    </w:p>
    <w:p>
      <w:pPr>
        <w:pStyle w:val="Heading2"/>
      </w:pPr>
      <w:r>
        <w:t>Data and Parameters Available at Validation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Data and Parameters Available at Validation]; [CORPUS: VCS_Bergama_Project-Description.norm, Data and Parameters Available at Validation]; [CORPUS: VCS_Inegol_Project-Description.norm, Data and Parameters Available at Validation]; [CORPUS: VCS_Inegol_Project-Description.norm, Data and Parameters Available at Validation]; [CORPUS: VCS_Soc_Son_Project-Description.norm, Data and Parameters Available at Validation]</w:t>
      </w:r>
    </w:p>
    <w:p>
      <w:pPr>
        <w:pStyle w:val="Quote"/>
      </w:pPr>
      <w:r>
        <w:rPr>
          <w:b/>
        </w:rPr>
        <w:t xml:space="preserve">Assumption note: </w:t>
      </w:r>
      <w:r>
        <w:t>8 synthetic/demo-backed input(s) affect this section. See Assumption Appendix for field-level details.</w:t>
      </w:r>
    </w:p>
    <w:p>
      <w:r>
        <w:t>Section 5.1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Data and Parameters Monitored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demo_curated=14</w:t>
            </w:r>
          </w:p>
        </w:tc>
      </w:tr>
    </w:tbl>
    <w:p>
      <w:pPr>
        <w:pStyle w:val="Quote"/>
      </w:pPr>
      <w:r>
        <w:rPr>
          <w:b/>
        </w:rPr>
        <w:t xml:space="preserve">Retrieved provenance: </w:t>
      </w:r>
      <w:r>
        <w:t>[CORPUS: VCS_Bergama_Project-Description.norm, Data and Parameters Monitored]; [CORPUS: VCS_Bergama_Project-Description.norm, Data and Parameters Monitored]; [CORPUS: VCS_Bergama_Project-Description.norm, Data and Parameters Monitored]; [CORPUS: VCS_Bergama_Project-Description.norm, Data and Parameters Monitored]; [CORPUS: VCS_Inegol_Project-Description.norm, Data and Parameters Monitored]</w:t>
      </w:r>
    </w:p>
    <w:p>
      <w:pPr>
        <w:pStyle w:val="Quote"/>
      </w:pPr>
      <w:r>
        <w:rPr>
          <w:b/>
        </w:rPr>
        <w:t xml:space="preserve">Assumption note: </w:t>
      </w:r>
      <w:r>
        <w:t>14 synthetic/demo-backed input(s) affect this section. See Assumption Appendix for field-level details.</w:t>
      </w:r>
    </w:p>
    <w:p>
      <w:r>
        <w:t>The synthetic demo monitoring plan tracks waste throughput through a calibrated weighbridge and net electricity export through a revenue-grade meter. Monthly review and digital record retention are assumed for the sample so the monitoring narrative stays coherent with the curated assumptions register.</w:t>
      </w:r>
    </w:p>
    <w:p>
      <w:pPr>
        <w:pStyle w:val="Heading2"/>
      </w:pPr>
      <w:r>
        <w:t>Monitoring Plan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VCS_Inegol_Project-Description.norm, Monitoring Plan]; [CORPUS: VCS_Soc_Son_Project-Description.norm, Monitoring Plan]</w:t>
      </w:r>
    </w:p>
    <w:p>
      <w:pPr>
        <w:pStyle w:val="Quote"/>
      </w:pPr>
      <w:r>
        <w:rPr>
          <w:b/>
        </w:rPr>
        <w:t xml:space="preserve">Assumption note: </w:t>
      </w:r>
      <w:r>
        <w:t>2 synthetic/demo-backed input(s) affect this section. See Assumption Appendix for field-level details.</w:t>
      </w:r>
    </w:p>
    <w:p>
      <w:r>
        <w:t>Section 5.3 for the client demo is drafted as readable synthetic prose using the curated demo assumptions register. This text is intentionally concise, internally consistent with the demo inputs, and suitable for client-facing illustration rather than audit use.</w:t>
      </w:r>
    </w:p>
    <w:p>
      <w:r>
        <w:br w:type="page"/>
      </w:r>
    </w:p>
    <w:p>
      <w:pPr>
        <w:pStyle w:val="Heading1"/>
      </w:pPr>
      <w:r>
        <w:t>Appendix A - Assumption Summary</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b/>
              </w:rPr>
              <w:t>Field</w:t>
            </w:r>
          </w:p>
        </w:tc>
        <w:tc>
          <w:tcPr>
            <w:tcW w:type="dxa" w:w="2550"/>
          </w:tcPr>
          <w:p>
            <w:r>
              <w:rPr>
                <w:b/>
              </w:rPr>
              <w:t>Source Type</w:t>
            </w:r>
          </w:p>
        </w:tc>
        <w:tc>
          <w:tcPr>
            <w:tcW w:type="dxa" w:w="2550"/>
          </w:tcPr>
          <w:p>
            <w:r>
              <w:rPr>
                <w:b/>
              </w:rPr>
              <w:t>Confidence</w:t>
            </w:r>
          </w:p>
        </w:tc>
        <w:tc>
          <w:tcPr>
            <w:tcW w:type="dxa" w:w="2550"/>
          </w:tcPr>
          <w:p>
            <w:r>
              <w:rPr>
                <w:b/>
              </w:rPr>
              <w:t>Value</w:t>
            </w:r>
          </w:p>
        </w:tc>
      </w:tr>
      <w:tr>
        <w:tc>
          <w:tcPr>
            <w:tcW w:type="dxa" w:w="2550"/>
          </w:tcPr>
          <w:p>
            <w:r>
              <w:t>project.project_name</w:t>
            </w:r>
          </w:p>
        </w:tc>
        <w:tc>
          <w:tcPr>
            <w:tcW w:type="dxa" w:w="2550"/>
          </w:tcPr>
          <w:p>
            <w:r>
              <w:t>demo_curated</w:t>
            </w:r>
          </w:p>
        </w:tc>
        <w:tc>
          <w:tcPr>
            <w:tcW w:type="dxa" w:w="2550"/>
          </w:tcPr>
          <w:p>
            <w:r>
              <w:t>high</w:t>
            </w:r>
          </w:p>
        </w:tc>
        <w:tc>
          <w:tcPr>
            <w:tcW w:type="dxa" w:w="2550"/>
          </w:tcPr>
          <w:p>
            <w:r>
              <w:t>Soc Son-like Waste-to-Power Demonstration Project</w:t>
            </w:r>
          </w:p>
        </w:tc>
      </w:tr>
      <w:tr>
        <w:tc>
          <w:tcPr>
            <w:tcW w:type="dxa" w:w="2550"/>
          </w:tcPr>
          <w:p>
            <w:r>
              <w:t>project.project_id_vcs</w:t>
            </w:r>
          </w:p>
        </w:tc>
        <w:tc>
          <w:tcPr>
            <w:tcW w:type="dxa" w:w="2550"/>
          </w:tcPr>
          <w:p>
            <w:r>
              <w:t>demo_curated</w:t>
            </w:r>
          </w:p>
        </w:tc>
        <w:tc>
          <w:tcPr>
            <w:tcW w:type="dxa" w:w="2550"/>
          </w:tcPr>
          <w:p>
            <w:r>
              <w:t>medium</w:t>
            </w:r>
          </w:p>
        </w:tc>
        <w:tc>
          <w:tcPr>
            <w:tcW w:type="dxa" w:w="2550"/>
          </w:tcPr>
          <w:p>
            <w:r>
              <w:t>None</w:t>
            </w:r>
          </w:p>
        </w:tc>
      </w:tr>
      <w:tr>
        <w:tc>
          <w:tcPr>
            <w:tcW w:type="dxa" w:w="2550"/>
          </w:tcPr>
          <w:p>
            <w:r>
              <w:t>project.proponent_name</w:t>
            </w:r>
          </w:p>
        </w:tc>
        <w:tc>
          <w:tcPr>
            <w:tcW w:type="dxa" w:w="2550"/>
          </w:tcPr>
          <w:p>
            <w:r>
              <w:t>demo_curated</w:t>
            </w:r>
          </w:p>
        </w:tc>
        <w:tc>
          <w:tcPr>
            <w:tcW w:type="dxa" w:w="2550"/>
          </w:tcPr>
          <w:p>
            <w:r>
              <w:t>high</w:t>
            </w:r>
          </w:p>
        </w:tc>
        <w:tc>
          <w:tcPr>
            <w:tcW w:type="dxa" w:w="2550"/>
          </w:tcPr>
          <w:p>
            <w:r>
              <w:t>Soc Son Demo Project Company</w:t>
            </w:r>
          </w:p>
        </w:tc>
      </w:tr>
      <w:tr>
        <w:tc>
          <w:tcPr>
            <w:tcW w:type="dxa" w:w="2550"/>
          </w:tcPr>
          <w:p>
            <w:r>
              <w:t>project.proponent_contact_email</w:t>
            </w:r>
          </w:p>
        </w:tc>
        <w:tc>
          <w:tcPr>
            <w:tcW w:type="dxa" w:w="2550"/>
          </w:tcPr>
          <w:p>
            <w:r>
              <w:t>demo_curated</w:t>
            </w:r>
          </w:p>
        </w:tc>
        <w:tc>
          <w:tcPr>
            <w:tcW w:type="dxa" w:w="2550"/>
          </w:tcPr>
          <w:p>
            <w:r>
              <w:t>high</w:t>
            </w:r>
          </w:p>
        </w:tc>
        <w:tc>
          <w:tcPr>
            <w:tcW w:type="dxa" w:w="2550"/>
          </w:tcPr>
          <w:p>
            <w:r>
              <w:t>climate-demo@example.com</w:t>
            </w:r>
          </w:p>
        </w:tc>
      </w:tr>
      <w:tr>
        <w:tc>
          <w:tcPr>
            <w:tcW w:type="dxa" w:w="2550"/>
          </w:tcPr>
          <w:p>
            <w:r>
              <w:t>project.other_entities</w:t>
            </w:r>
          </w:p>
        </w:tc>
        <w:tc>
          <w:tcPr>
            <w:tcW w:type="dxa" w:w="2550"/>
          </w:tcPr>
          <w:p>
            <w:r>
              <w:t>demo_curated</w:t>
            </w:r>
          </w:p>
        </w:tc>
        <w:tc>
          <w:tcPr>
            <w:tcW w:type="dxa" w:w="2550"/>
          </w:tcPr>
          <w:p>
            <w:r>
              <w:t>high</w:t>
            </w:r>
          </w:p>
        </w:tc>
        <w:tc>
          <w:tcPr>
            <w:tcW w:type="dxa" w:w="2550"/>
          </w:tcPr>
          <w:p>
            <w:r>
              <w:t>['Municipal waste collection authority']</w:t>
            </w:r>
          </w:p>
        </w:tc>
      </w:tr>
      <w:tr>
        <w:tc>
          <w:tcPr>
            <w:tcW w:type="dxa" w:w="2550"/>
          </w:tcPr>
          <w:p>
            <w:r>
              <w:t>project.ownership</w:t>
            </w:r>
          </w:p>
        </w:tc>
        <w:tc>
          <w:tcPr>
            <w:tcW w:type="dxa" w:w="2550"/>
          </w:tcPr>
          <w:p>
            <w:r>
              <w:t>demo_curated</w:t>
            </w:r>
          </w:p>
        </w:tc>
        <w:tc>
          <w:tcPr>
            <w:tcW w:type="dxa" w:w="2550"/>
          </w:tcPr>
          <w:p>
            <w:r>
              <w:t>high</w:t>
            </w:r>
          </w:p>
        </w:tc>
        <w:tc>
          <w:tcPr>
            <w:tcW w:type="dxa" w:w="2550"/>
          </w:tcPr>
          <w:p>
            <w:r>
              <w:t>The project proponent owns and operates the WTE facility and the resulting ca...</w:t>
            </w:r>
          </w:p>
        </w:tc>
      </w:tr>
      <w:tr>
        <w:tc>
          <w:tcPr>
            <w:tcW w:type="dxa" w:w="2550"/>
          </w:tcPr>
          <w:p>
            <w:r>
              <w:t>location.country</w:t>
            </w:r>
          </w:p>
        </w:tc>
        <w:tc>
          <w:tcPr>
            <w:tcW w:type="dxa" w:w="2550"/>
          </w:tcPr>
          <w:p>
            <w:r>
              <w:t>demo_curated</w:t>
            </w:r>
          </w:p>
        </w:tc>
        <w:tc>
          <w:tcPr>
            <w:tcW w:type="dxa" w:w="2550"/>
          </w:tcPr>
          <w:p>
            <w:r>
              <w:t>high</w:t>
            </w:r>
          </w:p>
        </w:tc>
        <w:tc>
          <w:tcPr>
            <w:tcW w:type="dxa" w:w="2550"/>
          </w:tcPr>
          <w:p>
            <w:r>
              <w:t>Vietnam</w:t>
            </w:r>
          </w:p>
        </w:tc>
      </w:tr>
      <w:tr>
        <w:tc>
          <w:tcPr>
            <w:tcW w:type="dxa" w:w="2550"/>
          </w:tcPr>
          <w:p>
            <w:r>
              <w:t>location.region</w:t>
            </w:r>
          </w:p>
        </w:tc>
        <w:tc>
          <w:tcPr>
            <w:tcW w:type="dxa" w:w="2550"/>
          </w:tcPr>
          <w:p>
            <w:r>
              <w:t>demo_curated</w:t>
            </w:r>
          </w:p>
        </w:tc>
        <w:tc>
          <w:tcPr>
            <w:tcW w:type="dxa" w:w="2550"/>
          </w:tcPr>
          <w:p>
            <w:r>
              <w:t>high</w:t>
            </w:r>
          </w:p>
        </w:tc>
        <w:tc>
          <w:tcPr>
            <w:tcW w:type="dxa" w:w="2550"/>
          </w:tcPr>
          <w:p>
            <w:r>
              <w:t>Hanoi</w:t>
            </w:r>
          </w:p>
        </w:tc>
      </w:tr>
      <w:tr>
        <w:tc>
          <w:tcPr>
            <w:tcW w:type="dxa" w:w="2550"/>
          </w:tcPr>
          <w:p>
            <w:r>
              <w:t>location.city</w:t>
            </w:r>
          </w:p>
        </w:tc>
        <w:tc>
          <w:tcPr>
            <w:tcW w:type="dxa" w:w="2550"/>
          </w:tcPr>
          <w:p>
            <w:r>
              <w:t>demo_curated</w:t>
            </w:r>
          </w:p>
        </w:tc>
        <w:tc>
          <w:tcPr>
            <w:tcW w:type="dxa" w:w="2550"/>
          </w:tcPr>
          <w:p>
            <w:r>
              <w:t>high</w:t>
            </w:r>
          </w:p>
        </w:tc>
        <w:tc>
          <w:tcPr>
            <w:tcW w:type="dxa" w:w="2550"/>
          </w:tcPr>
          <w:p>
            <w:r>
              <w:t>Soc Son</w:t>
            </w:r>
          </w:p>
        </w:tc>
      </w:tr>
      <w:tr>
        <w:tc>
          <w:tcPr>
            <w:tcW w:type="dxa" w:w="2550"/>
          </w:tcPr>
          <w:p>
            <w:r>
              <w:t>location.latitude</w:t>
            </w:r>
          </w:p>
        </w:tc>
        <w:tc>
          <w:tcPr>
            <w:tcW w:type="dxa" w:w="2550"/>
          </w:tcPr>
          <w:p>
            <w:r>
              <w:t>demo_curated</w:t>
            </w:r>
          </w:p>
        </w:tc>
        <w:tc>
          <w:tcPr>
            <w:tcW w:type="dxa" w:w="2550"/>
          </w:tcPr>
          <w:p>
            <w:r>
              <w:t>high</w:t>
            </w:r>
          </w:p>
        </w:tc>
        <w:tc>
          <w:tcPr>
            <w:tcW w:type="dxa" w:w="2550"/>
          </w:tcPr>
          <w:p>
            <w:r>
              <w:t>21.259</w:t>
            </w:r>
          </w:p>
        </w:tc>
      </w:tr>
      <w:tr>
        <w:tc>
          <w:tcPr>
            <w:tcW w:type="dxa" w:w="2550"/>
          </w:tcPr>
          <w:p>
            <w:r>
              <w:t>location.longitude</w:t>
            </w:r>
          </w:p>
        </w:tc>
        <w:tc>
          <w:tcPr>
            <w:tcW w:type="dxa" w:w="2550"/>
          </w:tcPr>
          <w:p>
            <w:r>
              <w:t>demo_curated</w:t>
            </w:r>
          </w:p>
        </w:tc>
        <w:tc>
          <w:tcPr>
            <w:tcW w:type="dxa" w:w="2550"/>
          </w:tcPr>
          <w:p>
            <w:r>
              <w:t>high</w:t>
            </w:r>
          </w:p>
        </w:tc>
        <w:tc>
          <w:tcPr>
            <w:tcW w:type="dxa" w:w="2550"/>
          </w:tcPr>
          <w:p>
            <w:r>
              <w:t>105.848</w:t>
            </w:r>
          </w:p>
        </w:tc>
      </w:tr>
      <w:tr>
        <w:tc>
          <w:tcPr>
            <w:tcW w:type="dxa" w:w="2550"/>
          </w:tcPr>
          <w:p>
            <w:r>
              <w:t>location.landfill_latitude</w:t>
            </w:r>
          </w:p>
        </w:tc>
        <w:tc>
          <w:tcPr>
            <w:tcW w:type="dxa" w:w="2550"/>
          </w:tcPr>
          <w:p>
            <w:r>
              <w:t>demo_curated</w:t>
            </w:r>
          </w:p>
        </w:tc>
        <w:tc>
          <w:tcPr>
            <w:tcW w:type="dxa" w:w="2550"/>
          </w:tcPr>
          <w:p>
            <w:r>
              <w:t>high</w:t>
            </w:r>
          </w:p>
        </w:tc>
        <w:tc>
          <w:tcPr>
            <w:tcW w:type="dxa" w:w="2550"/>
          </w:tcPr>
          <w:p>
            <w:r>
              <w:t>21.275</w:t>
            </w:r>
          </w:p>
        </w:tc>
      </w:tr>
      <w:tr>
        <w:tc>
          <w:tcPr>
            <w:tcW w:type="dxa" w:w="2550"/>
          </w:tcPr>
          <w:p>
            <w:r>
              <w:t>location.landfill_longitude</w:t>
            </w:r>
          </w:p>
        </w:tc>
        <w:tc>
          <w:tcPr>
            <w:tcW w:type="dxa" w:w="2550"/>
          </w:tcPr>
          <w:p>
            <w:r>
              <w:t>demo_curated</w:t>
            </w:r>
          </w:p>
        </w:tc>
        <w:tc>
          <w:tcPr>
            <w:tcW w:type="dxa" w:w="2550"/>
          </w:tcPr>
          <w:p>
            <w:r>
              <w:t>high</w:t>
            </w:r>
          </w:p>
        </w:tc>
        <w:tc>
          <w:tcPr>
            <w:tcW w:type="dxa" w:w="2550"/>
          </w:tcPr>
          <w:p>
            <w:r>
              <w:t>105.86</w:t>
            </w:r>
          </w:p>
        </w:tc>
      </w:tr>
      <w:tr>
        <w:tc>
          <w:tcPr>
            <w:tcW w:type="dxa" w:w="2550"/>
          </w:tcPr>
          <w:p>
            <w:r>
              <w:t>dates.start_date</w:t>
            </w:r>
          </w:p>
        </w:tc>
        <w:tc>
          <w:tcPr>
            <w:tcW w:type="dxa" w:w="2550"/>
          </w:tcPr>
          <w:p>
            <w:r>
              <w:t>demo_curated</w:t>
            </w:r>
          </w:p>
        </w:tc>
        <w:tc>
          <w:tcPr>
            <w:tcW w:type="dxa" w:w="2550"/>
          </w:tcPr>
          <w:p>
            <w:r>
              <w:t>high</w:t>
            </w:r>
          </w:p>
        </w:tc>
        <w:tc>
          <w:tcPr>
            <w:tcW w:type="dxa" w:w="2550"/>
          </w:tcPr>
          <w:p>
            <w:r>
              <w:t>2024-01-01</w:t>
            </w:r>
          </w:p>
        </w:tc>
      </w:tr>
      <w:tr>
        <w:tc>
          <w:tcPr>
            <w:tcW w:type="dxa" w:w="2550"/>
          </w:tcPr>
          <w:p>
            <w:r>
              <w:t>dates.crediting_period_start</w:t>
            </w:r>
          </w:p>
        </w:tc>
        <w:tc>
          <w:tcPr>
            <w:tcW w:type="dxa" w:w="2550"/>
          </w:tcPr>
          <w:p>
            <w:r>
              <w:t>demo_curated</w:t>
            </w:r>
          </w:p>
        </w:tc>
        <w:tc>
          <w:tcPr>
            <w:tcW w:type="dxa" w:w="2550"/>
          </w:tcPr>
          <w:p>
            <w:r>
              <w:t>high</w:t>
            </w:r>
          </w:p>
        </w:tc>
        <w:tc>
          <w:tcPr>
            <w:tcW w:type="dxa" w:w="2550"/>
          </w:tcPr>
          <w:p>
            <w:r>
              <w:t>2026-01-01</w:t>
            </w:r>
          </w:p>
        </w:tc>
      </w:tr>
      <w:tr>
        <w:tc>
          <w:tcPr>
            <w:tcW w:type="dxa" w:w="2550"/>
          </w:tcPr>
          <w:p>
            <w:r>
              <w:t>dates.crediting_period_years</w:t>
            </w:r>
          </w:p>
        </w:tc>
        <w:tc>
          <w:tcPr>
            <w:tcW w:type="dxa" w:w="2550"/>
          </w:tcPr>
          <w:p>
            <w:r>
              <w:t>demo_curated</w:t>
            </w:r>
          </w:p>
        </w:tc>
        <w:tc>
          <w:tcPr>
            <w:tcW w:type="dxa" w:w="2550"/>
          </w:tcPr>
          <w:p>
            <w:r>
              <w:t>high</w:t>
            </w:r>
          </w:p>
        </w:tc>
        <w:tc>
          <w:tcPr>
            <w:tcW w:type="dxa" w:w="2550"/>
          </w:tcPr>
          <w:p>
            <w:r>
              <w:t>10</w:t>
            </w:r>
          </w:p>
        </w:tc>
      </w:tr>
      <w:tr>
        <w:tc>
          <w:tcPr>
            <w:tcW w:type="dxa" w:w="2550"/>
          </w:tcPr>
          <w:p>
            <w:r>
              <w:t>technology.methodology_ids</w:t>
            </w:r>
          </w:p>
        </w:tc>
        <w:tc>
          <w:tcPr>
            <w:tcW w:type="dxa" w:w="2550"/>
          </w:tcPr>
          <w:p>
            <w:r>
              <w:t>demo_curated</w:t>
            </w:r>
          </w:p>
        </w:tc>
        <w:tc>
          <w:tcPr>
            <w:tcW w:type="dxa" w:w="2550"/>
          </w:tcPr>
          <w:p>
            <w:r>
              <w:t>high</w:t>
            </w:r>
          </w:p>
        </w:tc>
        <w:tc>
          <w:tcPr>
            <w:tcW w:type="dxa" w:w="2550"/>
          </w:tcPr>
          <w:p>
            <w:r>
              <w:t>['ACM0022']</w:t>
            </w:r>
          </w:p>
        </w:tc>
      </w:tr>
      <w:tr>
        <w:tc>
          <w:tcPr>
            <w:tcW w:type="dxa" w:w="2550"/>
          </w:tcPr>
          <w:p>
            <w:r>
              <w:t>technology.annual_waste_throughput</w:t>
            </w:r>
          </w:p>
        </w:tc>
        <w:tc>
          <w:tcPr>
            <w:tcW w:type="dxa" w:w="2550"/>
          </w:tcPr>
          <w:p>
            <w:r>
              <w:t>demo_curated</w:t>
            </w:r>
          </w:p>
        </w:tc>
        <w:tc>
          <w:tcPr>
            <w:tcW w:type="dxa" w:w="2550"/>
          </w:tcPr>
          <w:p>
            <w:r>
              <w:t>high</w:t>
            </w:r>
          </w:p>
        </w:tc>
        <w:tc>
          <w:tcPr>
            <w:tcW w:type="dxa" w:w="2550"/>
          </w:tcPr>
          <w:p>
            <w:r>
              <w:t>182500.0</w:t>
            </w:r>
          </w:p>
        </w:tc>
      </w:tr>
      <w:tr>
        <w:tc>
          <w:tcPr>
            <w:tcW w:type="dxa" w:w="2550"/>
          </w:tcPr>
          <w:p>
            <w:r>
              <w:t>technology.installed_capacity_mw</w:t>
            </w:r>
          </w:p>
        </w:tc>
        <w:tc>
          <w:tcPr>
            <w:tcW w:type="dxa" w:w="2550"/>
          </w:tcPr>
          <w:p>
            <w:r>
              <w:t>demo_curated</w:t>
            </w:r>
          </w:p>
        </w:tc>
        <w:tc>
          <w:tcPr>
            <w:tcW w:type="dxa" w:w="2550"/>
          </w:tcPr>
          <w:p>
            <w:r>
              <w:t>high</w:t>
            </w:r>
          </w:p>
        </w:tc>
        <w:tc>
          <w:tcPr>
            <w:tcW w:type="dxa" w:w="2550"/>
          </w:tcPr>
          <w:p>
            <w:r>
              <w:t>9.0</w:t>
            </w:r>
          </w:p>
        </w:tc>
      </w:tr>
      <w:tr>
        <w:tc>
          <w:tcPr>
            <w:tcW w:type="dxa" w:w="2550"/>
          </w:tcPr>
          <w:p>
            <w:r>
              <w:t>technology.energy_generation_mwh_year</w:t>
            </w:r>
          </w:p>
        </w:tc>
        <w:tc>
          <w:tcPr>
            <w:tcW w:type="dxa" w:w="2550"/>
          </w:tcPr>
          <w:p>
            <w:r>
              <w:t>demo_curated</w:t>
            </w:r>
          </w:p>
        </w:tc>
        <w:tc>
          <w:tcPr>
            <w:tcW w:type="dxa" w:w="2550"/>
          </w:tcPr>
          <w:p>
            <w:r>
              <w:t>high</w:t>
            </w:r>
          </w:p>
        </w:tc>
        <w:tc>
          <w:tcPr>
            <w:tcW w:type="dxa" w:w="2550"/>
          </w:tcPr>
          <w:p>
            <w:r>
              <w:t>54000.0</w:t>
            </w:r>
          </w:p>
        </w:tc>
      </w:tr>
      <w:tr>
        <w:tc>
          <w:tcPr>
            <w:tcW w:type="dxa" w:w="2550"/>
          </w:tcPr>
          <w:p>
            <w:r>
              <w:t>technology.tip_fee_usd_per_tonne</w:t>
            </w:r>
          </w:p>
        </w:tc>
        <w:tc>
          <w:tcPr>
            <w:tcW w:type="dxa" w:w="2550"/>
          </w:tcPr>
          <w:p>
            <w:r>
              <w:t>demo_curated</w:t>
            </w:r>
          </w:p>
        </w:tc>
        <w:tc>
          <w:tcPr>
            <w:tcW w:type="dxa" w:w="2550"/>
          </w:tcPr>
          <w:p>
            <w:r>
              <w:t>high</w:t>
            </w:r>
          </w:p>
        </w:tc>
        <w:tc>
          <w:tcPr>
            <w:tcW w:type="dxa" w:w="2550"/>
          </w:tcPr>
          <w:p>
            <w:r>
              <w:t>18.0</w:t>
            </w:r>
          </w:p>
        </w:tc>
      </w:tr>
      <w:tr>
        <w:tc>
          <w:tcPr>
            <w:tcW w:type="dxa" w:w="2550"/>
          </w:tcPr>
          <w:p>
            <w:r>
              <w:t>quantification.baseline_emissions_tco2e_per_year</w:t>
            </w:r>
          </w:p>
        </w:tc>
        <w:tc>
          <w:tcPr>
            <w:tcW w:type="dxa" w:w="2550"/>
          </w:tcPr>
          <w:p>
            <w:r>
              <w:t>demo_curated</w:t>
            </w:r>
          </w:p>
        </w:tc>
        <w:tc>
          <w:tcPr>
            <w:tcW w:type="dxa" w:w="2550"/>
          </w:tcPr>
          <w:p>
            <w:r>
              <w:t>high</w:t>
            </w:r>
          </w:p>
        </w:tc>
        <w:tc>
          <w:tcPr>
            <w:tcW w:type="dxa" w:w="2550"/>
          </w:tcPr>
          <w:p>
            <w:r>
              <w:t>98000.0</w:t>
            </w:r>
          </w:p>
        </w:tc>
      </w:tr>
      <w:tr>
        <w:tc>
          <w:tcPr>
            <w:tcW w:type="dxa" w:w="2550"/>
          </w:tcPr>
          <w:p>
            <w:r>
              <w:t>quantification.project_emissions_tco2e_per_year</w:t>
            </w:r>
          </w:p>
        </w:tc>
        <w:tc>
          <w:tcPr>
            <w:tcW w:type="dxa" w:w="2550"/>
          </w:tcPr>
          <w:p>
            <w:r>
              <w:t>demo_curated</w:t>
            </w:r>
          </w:p>
        </w:tc>
        <w:tc>
          <w:tcPr>
            <w:tcW w:type="dxa" w:w="2550"/>
          </w:tcPr>
          <w:p>
            <w:r>
              <w:t>high</w:t>
            </w:r>
          </w:p>
        </w:tc>
        <w:tc>
          <w:tcPr>
            <w:tcW w:type="dxa" w:w="2550"/>
          </w:tcPr>
          <w:p>
            <w:r>
              <w:t>21000.0</w:t>
            </w:r>
          </w:p>
        </w:tc>
      </w:tr>
      <w:tr>
        <w:tc>
          <w:tcPr>
            <w:tcW w:type="dxa" w:w="2550"/>
          </w:tcPr>
          <w:p>
            <w:r>
              <w:t>quantification.leakage_tco2e_per_year</w:t>
            </w:r>
          </w:p>
        </w:tc>
        <w:tc>
          <w:tcPr>
            <w:tcW w:type="dxa" w:w="2550"/>
          </w:tcPr>
          <w:p>
            <w:r>
              <w:t>demo_curated</w:t>
            </w:r>
          </w:p>
        </w:tc>
        <w:tc>
          <w:tcPr>
            <w:tcW w:type="dxa" w:w="2550"/>
          </w:tcPr>
          <w:p>
            <w:r>
              <w:t>high</w:t>
            </w:r>
          </w:p>
        </w:tc>
        <w:tc>
          <w:tcPr>
            <w:tcW w:type="dxa" w:w="2550"/>
          </w:tcPr>
          <w:p>
            <w:r>
              <w:t>2000.0</w:t>
            </w:r>
          </w:p>
        </w:tc>
      </w:tr>
      <w:tr>
        <w:tc>
          <w:tcPr>
            <w:tcW w:type="dxa" w:w="2550"/>
          </w:tcPr>
          <w:p>
            <w:r>
              <w:t>quantification.net_emissions_tco2e_per_year</w:t>
            </w:r>
          </w:p>
        </w:tc>
        <w:tc>
          <w:tcPr>
            <w:tcW w:type="dxa" w:w="2550"/>
          </w:tcPr>
          <w:p>
            <w:r>
              <w:t>demo_curated</w:t>
            </w:r>
          </w:p>
        </w:tc>
        <w:tc>
          <w:tcPr>
            <w:tcW w:type="dxa" w:w="2550"/>
          </w:tcPr>
          <w:p>
            <w:r>
              <w:t>high</w:t>
            </w:r>
          </w:p>
        </w:tc>
        <w:tc>
          <w:tcPr>
            <w:tcW w:type="dxa" w:w="2550"/>
          </w:tcPr>
          <w:p>
            <w:r>
              <w:t>75000.0</w:t>
            </w:r>
          </w:p>
        </w:tc>
      </w:tr>
      <w:tr>
        <w:tc>
          <w:tcPr>
            <w:tcW w:type="dxa" w:w="2550"/>
          </w:tcPr>
          <w:p>
            <w:r>
              <w:t>quantification.grid_emission_factor</w:t>
            </w:r>
          </w:p>
        </w:tc>
        <w:tc>
          <w:tcPr>
            <w:tcW w:type="dxa" w:w="2550"/>
          </w:tcPr>
          <w:p>
            <w:r>
              <w:t>demo_curated</w:t>
            </w:r>
          </w:p>
        </w:tc>
        <w:tc>
          <w:tcPr>
            <w:tcW w:type="dxa" w:w="2550"/>
          </w:tcPr>
          <w:p>
            <w:r>
              <w:t>high</w:t>
            </w:r>
          </w:p>
        </w:tc>
        <w:tc>
          <w:tcPr>
            <w:tcW w:type="dxa" w:w="2550"/>
          </w:tcPr>
          <w:p>
            <w:r>
              <w:t>0.92</w:t>
            </w:r>
          </w:p>
        </w:tc>
      </w:tr>
      <w:tr>
        <w:tc>
          <w:tcPr>
            <w:tcW w:type="dxa" w:w="2550"/>
          </w:tcPr>
          <w:p>
            <w:r>
              <w:t>quantification.grid_emission_factor_source</w:t>
            </w:r>
          </w:p>
        </w:tc>
        <w:tc>
          <w:tcPr>
            <w:tcW w:type="dxa" w:w="2550"/>
          </w:tcPr>
          <w:p>
            <w:r>
              <w:t>demo_curated</w:t>
            </w:r>
          </w:p>
        </w:tc>
        <w:tc>
          <w:tcPr>
            <w:tcW w:type="dxa" w:w="2550"/>
          </w:tcPr>
          <w:p>
            <w:r>
              <w:t>high</w:t>
            </w:r>
          </w:p>
        </w:tc>
        <w:tc>
          <w:tcPr>
            <w:tcW w:type="dxa" w:w="2550"/>
          </w:tcPr>
          <w:p>
            <w:r>
              <w:t>national grid authority 2025 emission factor report</w:t>
            </w:r>
          </w:p>
        </w:tc>
      </w:tr>
      <w:tr>
        <w:tc>
          <w:tcPr>
            <w:tcW w:type="dxa" w:w="2550"/>
          </w:tcPr>
          <w:p>
            <w:r>
              <w:t>quantification.crediting_period_total_tco2e</w:t>
            </w:r>
          </w:p>
        </w:tc>
        <w:tc>
          <w:tcPr>
            <w:tcW w:type="dxa" w:w="2550"/>
          </w:tcPr>
          <w:p>
            <w:r>
              <w:t>demo_curated</w:t>
            </w:r>
          </w:p>
        </w:tc>
        <w:tc>
          <w:tcPr>
            <w:tcW w:type="dxa" w:w="2550"/>
          </w:tcPr>
          <w:p>
            <w:r>
              <w:t>high</w:t>
            </w:r>
          </w:p>
        </w:tc>
        <w:tc>
          <w:tcPr>
            <w:tcW w:type="dxa" w:w="2550"/>
          </w:tcPr>
          <w:p>
            <w:r>
              <w:t>750000.0</w:t>
            </w:r>
          </w:p>
        </w:tc>
      </w:tr>
      <w:tr>
        <w:tc>
          <w:tcPr>
            <w:tcW w:type="dxa" w:w="2550"/>
          </w:tcPr>
          <w:p>
            <w:r>
              <w:t>monitoring.parameters_monitored</w:t>
            </w:r>
          </w:p>
        </w:tc>
        <w:tc>
          <w:tcPr>
            <w:tcW w:type="dxa" w:w="2550"/>
          </w:tcPr>
          <w:p>
            <w:r>
              <w:t>demo_curated</w:t>
            </w:r>
          </w:p>
        </w:tc>
        <w:tc>
          <w:tcPr>
            <w:tcW w:type="dxa" w:w="2550"/>
          </w:tcPr>
          <w:p>
            <w:r>
              <w:t>high</w:t>
            </w:r>
          </w:p>
        </w:tc>
        <w:tc>
          <w:tcPr>
            <w:tcW w:type="dxa" w:w="2550"/>
          </w:tcPr>
          <w:p>
            <w:r>
              <w:t>[{'name': 'Waste throughput', 'unit': 'tonnes/day', 'frequency': 'daily', 'me...</w:t>
            </w:r>
          </w:p>
        </w:tc>
      </w:tr>
      <w:tr>
        <w:tc>
          <w:tcPr>
            <w:tcW w:type="dxa" w:w="2550"/>
          </w:tcPr>
          <w:p>
            <w:r>
              <w:t>monitoring.data_management</w:t>
            </w:r>
          </w:p>
        </w:tc>
        <w:tc>
          <w:tcPr>
            <w:tcW w:type="dxa" w:w="2550"/>
          </w:tcPr>
          <w:p>
            <w:r>
              <w:t>demo_curated</w:t>
            </w:r>
          </w:p>
        </w:tc>
        <w:tc>
          <w:tcPr>
            <w:tcW w:type="dxa" w:w="2550"/>
          </w:tcPr>
          <w:p>
            <w:r>
              <w:t>high</w:t>
            </w:r>
          </w:p>
        </w:tc>
        <w:tc>
          <w:tcPr>
            <w:tcW w:type="dxa" w:w="2550"/>
          </w:tcPr>
          <w:p>
            <w:r>
              <w:t>Operations and monitoring data are logged digitally, reviewed monthly, and ar...</w:t>
            </w:r>
          </w:p>
        </w:tc>
      </w:tr>
      <w:tr>
        <w:tc>
          <w:tcPr>
            <w:tcW w:type="dxa" w:w="2550"/>
          </w:tcPr>
          <w:p>
            <w:r>
              <w:t>safeguards.no_net_harm_statement</w:t>
            </w:r>
          </w:p>
        </w:tc>
        <w:tc>
          <w:tcPr>
            <w:tcW w:type="dxa" w:w="2550"/>
          </w:tcPr>
          <w:p>
            <w:r>
              <w:t>demo_curated</w:t>
            </w:r>
          </w:p>
        </w:tc>
        <w:tc>
          <w:tcPr>
            <w:tcW w:type="dxa" w:w="2550"/>
          </w:tcPr>
          <w:p>
            <w:r>
              <w:t>high</w:t>
            </w:r>
          </w:p>
        </w:tc>
        <w:tc>
          <w:tcPr>
            <w:tcW w:type="dxa" w:w="2550"/>
          </w:tcPr>
          <w:p>
            <w:r>
              <w:t>A no-net-harm assessment has been completed for the demonstration case.</w:t>
            </w:r>
          </w:p>
        </w:tc>
      </w:tr>
      <w:tr>
        <w:tc>
          <w:tcPr>
            <w:tcW w:type="dxa" w:w="2550"/>
          </w:tcPr>
          <w:p>
            <w:r>
              <w:t>safeguards.stakeholder_consultation_completed</w:t>
            </w:r>
          </w:p>
        </w:tc>
        <w:tc>
          <w:tcPr>
            <w:tcW w:type="dxa" w:w="2550"/>
          </w:tcPr>
          <w:p>
            <w:r>
              <w:t>demo_curated</w:t>
            </w:r>
          </w:p>
        </w:tc>
        <w:tc>
          <w:tcPr>
            <w:tcW w:type="dxa" w:w="2550"/>
          </w:tcPr>
          <w:p>
            <w:r>
              <w:t>high</w:t>
            </w:r>
          </w:p>
        </w:tc>
        <w:tc>
          <w:tcPr>
            <w:tcW w:type="dxa" w:w="2550"/>
          </w:tcPr>
          <w:p>
            <w:r>
              <w:t>True</w:t>
            </w:r>
          </w:p>
        </w:tc>
      </w:tr>
      <w:tr>
        <w:tc>
          <w:tcPr>
            <w:tcW w:type="dxa" w:w="2550"/>
          </w:tcPr>
          <w:p>
            <w:r>
              <w:t>safeguards.stakeholder_consultation_date</w:t>
            </w:r>
          </w:p>
        </w:tc>
        <w:tc>
          <w:tcPr>
            <w:tcW w:type="dxa" w:w="2550"/>
          </w:tcPr>
          <w:p>
            <w:r>
              <w:t>demo_curated</w:t>
            </w:r>
          </w:p>
        </w:tc>
        <w:tc>
          <w:tcPr>
            <w:tcW w:type="dxa" w:w="2550"/>
          </w:tcPr>
          <w:p>
            <w:r>
              <w:t>high</w:t>
            </w:r>
          </w:p>
        </w:tc>
        <w:tc>
          <w:tcPr>
            <w:tcW w:type="dxa" w:w="2550"/>
          </w:tcPr>
          <w:p>
            <w:r>
              <w:t>2025-09-15</w:t>
            </w:r>
          </w:p>
        </w:tc>
      </w:tr>
      <w:tr>
        <w:tc>
          <w:tcPr>
            <w:tcW w:type="dxa" w:w="2550"/>
          </w:tcPr>
          <w:p>
            <w:r>
              <w:t>safeguards.environmental_impact_assessment</w:t>
            </w:r>
          </w:p>
        </w:tc>
        <w:tc>
          <w:tcPr>
            <w:tcW w:type="dxa" w:w="2550"/>
          </w:tcPr>
          <w:p>
            <w:r>
              <w:t>demo_curated</w:t>
            </w:r>
          </w:p>
        </w:tc>
        <w:tc>
          <w:tcPr>
            <w:tcW w:type="dxa" w:w="2550"/>
          </w:tcPr>
          <w:p>
            <w:r>
              <w:t>high</w:t>
            </w:r>
          </w:p>
        </w:tc>
        <w:tc>
          <w:tcPr>
            <w:tcW w:type="dxa" w:w="2550"/>
          </w:tcPr>
          <w:p>
            <w:r>
              <w:t>True</w:t>
            </w:r>
          </w:p>
        </w:tc>
      </w:tr>
      <w:tr>
        <w:tc>
          <w:tcPr>
            <w:tcW w:type="dxa" w:w="2550"/>
          </w:tcPr>
          <w:p>
            <w:r>
              <w:t>safeguards.eia_reference</w:t>
            </w:r>
          </w:p>
        </w:tc>
        <w:tc>
          <w:tcPr>
            <w:tcW w:type="dxa" w:w="2550"/>
          </w:tcPr>
          <w:p>
            <w:r>
              <w:t>demo_curated</w:t>
            </w:r>
          </w:p>
        </w:tc>
        <w:tc>
          <w:tcPr>
            <w:tcW w:type="dxa" w:w="2550"/>
          </w:tcPr>
          <w:p>
            <w:r>
              <w:t>high</w:t>
            </w:r>
          </w:p>
        </w:tc>
        <w:tc>
          <w:tcPr>
            <w:tcW w:type="dxa" w:w="2550"/>
          </w:tcPr>
          <w:p>
            <w:r>
              <w:t>Hanoi WTE EIA permit 2025-SS-17</w:t>
            </w:r>
          </w:p>
        </w:tc>
      </w:tr>
      <w:tr>
        <w:tc>
          <w:tcPr>
            <w:tcW w:type="dxa" w:w="2550"/>
          </w:tcPr>
          <w:p>
            <w:r>
              <w:t>compliance_and_ownership.credit_ownership_statement</w:t>
            </w:r>
          </w:p>
        </w:tc>
        <w:tc>
          <w:tcPr>
            <w:tcW w:type="dxa" w:w="2550"/>
          </w:tcPr>
          <w:p>
            <w:r>
              <w:t>demo_curated</w:t>
            </w:r>
          </w:p>
        </w:tc>
        <w:tc>
          <w:tcPr>
            <w:tcW w:type="dxa" w:w="2550"/>
          </w:tcPr>
          <w:p>
            <w:r>
              <w:t>high</w:t>
            </w:r>
          </w:p>
        </w:tc>
        <w:tc>
          <w:tcPr>
            <w:tcW w:type="dxa" w:w="2550"/>
          </w:tcPr>
          <w:p>
            <w:r>
              <w:t>The project proponent retains exclusive ownership of the environmental attrib...</w:t>
            </w:r>
          </w:p>
        </w:tc>
      </w:tr>
    </w:tbl>
    <w:p/>
    <w:p>
      <w:r>
        <w:rPr>
          <w:b/>
        </w:rPr>
        <w:t>Assumption guardrails:</w:t>
      </w:r>
    </w:p>
    <w:p>
      <w:r>
        <w:t>This assumptions file supports the synthetic client-demo path and intentionally avoids review-gated missing-data placeholders.</w:t>
      </w:r>
    </w:p>
    <w:p>
      <w:r>
        <w:t>All values remain synthetic demo inputs and must not be treated as verified project evidence.</w:t>
      </w:r>
    </w:p>
    <w:sectPr w:rsidR="00DF6FEE" w:rsidRPr="00A226CA" w:rsidSect="00030969">
      <w:footerReference w:type="default" r:id="rId18"/>
      <w:pgSz w:w="12240" w:h="15840"/>
      <w:pgMar w:top="964" w:right="1020" w:bottom="907" w:left="102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82FE67" w14:textId="77777777" w:rsidR="00E715B7" w:rsidRDefault="00E715B7" w:rsidP="00D109C1">
      <w:pPr>
        <w:spacing w:after="0" w:line="240" w:lineRule="auto"/>
      </w:pPr>
      <w:r>
        <w:separator/>
      </w:r>
    </w:p>
  </w:endnote>
  <w:endnote w:type="continuationSeparator" w:id="0">
    <w:p w14:paraId="40B29E3F" w14:textId="77777777" w:rsidR="00E715B7" w:rsidRDefault="00E715B7" w:rsidP="00D109C1">
      <w:pPr>
        <w:spacing w:after="0" w:line="240" w:lineRule="auto"/>
      </w:pPr>
      <w:r>
        <w:continuationSeparator/>
      </w:r>
    </w:p>
  </w:endnote>
  <w:endnote w:type="continuationNotice" w:id="1">
    <w:p w14:paraId="4DB74607" w14:textId="77777777" w:rsidR="00E715B7" w:rsidRDefault="00E715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00"/>
    <w:family w:val="swiss"/>
    <w:pitch w:val="variable"/>
    <w:sig w:usb0="00000001"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Zilla Slab">
    <w:altName w:val="Times New Roman"/>
    <w:panose1 w:val="00000000000000000000"/>
    <w:charset w:val="00"/>
    <w:family w:val="auto"/>
    <w:pitch w:val="variable"/>
    <w:sig w:usb0="A00000FF" w:usb1="5001E47B"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0830436"/>
      <w:docPartObj>
        <w:docPartGallery w:val="Page Numbers (Bottom of Page)"/>
        <w:docPartUnique/>
      </w:docPartObj>
    </w:sdtPr>
    <w:sdtEndPr>
      <w:rPr>
        <w:noProof/>
      </w:rPr>
    </w:sdtEndPr>
    <w:sdtContent>
      <w:p w14:paraId="327B1B87" w14:textId="28856F0D"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22</w:t>
        </w:r>
        <w:r w:rsidRPr="0079438F">
          <w:rPr>
            <w:rFonts w:ascii="Century Gothic" w:hAnsi="Century Gothic"/>
            <w:noProof/>
            <w:color w:val="262626"/>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8119634"/>
      <w:docPartObj>
        <w:docPartGallery w:val="Page Numbers (Bottom of Page)"/>
        <w:docPartUnique/>
      </w:docPartObj>
    </w:sdtPr>
    <w:sdtEndPr>
      <w:rPr>
        <w:noProof/>
      </w:rPr>
    </w:sdtEndPr>
    <w:sdtContent>
      <w:p w14:paraId="0B5432DA" w14:textId="683D36DB"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17</w:t>
        </w:r>
        <w:r w:rsidRPr="0079438F">
          <w:rPr>
            <w:rFonts w:ascii="Century Gothic" w:hAnsi="Century Gothic"/>
            <w:noProof/>
            <w:color w:val="262626"/>
          </w:rPr>
          <w:fldChar w:fldCharType="end"/>
        </w:r>
      </w:p>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D43651" w14:textId="77777777" w:rsidR="00E715B7" w:rsidRDefault="00E715B7" w:rsidP="00D109C1">
      <w:pPr>
        <w:spacing w:after="0" w:line="240" w:lineRule="auto"/>
      </w:pPr>
      <w:r>
        <w:separator/>
      </w:r>
    </w:p>
  </w:footnote>
  <w:footnote w:type="continuationSeparator" w:id="0">
    <w:p w14:paraId="7482C25F" w14:textId="77777777" w:rsidR="00E715B7" w:rsidRDefault="00E715B7" w:rsidP="00D109C1">
      <w:pPr>
        <w:spacing w:after="0" w:line="240" w:lineRule="auto"/>
      </w:pPr>
      <w:r>
        <w:continuationSeparator/>
      </w:r>
    </w:p>
  </w:footnote>
  <w:footnote w:type="continuationNotice" w:id="1">
    <w:p w14:paraId="3E277B44" w14:textId="77777777" w:rsidR="00E715B7" w:rsidRDefault="00E715B7">
      <w:pPr>
        <w:spacing w:after="0" w:line="240" w:lineRule="auto"/>
      </w:pPr>
    </w:p>
  </w:footnote>
  <w:footnote w:id="2">
    <w:p w14:paraId="7C7EA02E" w14:textId="77777777" w:rsidR="00B46869" w:rsidRPr="000846E7" w:rsidRDefault="00B46869" w:rsidP="00030969">
      <w:pPr>
        <w:pStyle w:val="SDVFootnote"/>
        <w:rPr>
          <w:color w:val="auto"/>
        </w:rPr>
      </w:pPr>
      <w:r>
        <w:rPr>
          <w:rStyle w:val="FootnoteReference"/>
        </w:rPr>
        <w:footnoteRef/>
      </w:r>
      <w:r>
        <w:t xml:space="preserve"> </w:t>
      </w:r>
      <w:r w:rsidRPr="0079438F">
        <w:rPr>
          <w:rFonts w:ascii="Calibri" w:hAnsi="Calibri" w:cs="Calibri"/>
        </w:rPr>
        <w:t xml:space="preserve">The ILO Core Labour conventions are the </w:t>
      </w:r>
      <w:hyperlink r:id="rId1">
        <w:r w:rsidRPr="00030969">
          <w:rPr>
            <w:rFonts w:ascii="Calibri" w:hAnsi="Calibri" w:cs="Calibri"/>
            <w:u w:val="single"/>
          </w:rPr>
          <w:t>Forced Labour Convention</w:t>
        </w:r>
        <w:r w:rsidRPr="0079438F">
          <w:rPr>
            <w:rFonts w:ascii="Calibri" w:hAnsi="Calibri" w:cs="Calibri"/>
          </w:rPr>
          <w:t>, 1930 (No. 29)</w:t>
        </w:r>
      </w:hyperlink>
      <w:r w:rsidRPr="0079438F">
        <w:rPr>
          <w:rFonts w:ascii="Calibri" w:hAnsi="Calibri" w:cs="Calibri"/>
        </w:rPr>
        <w:t xml:space="preserve">, </w:t>
      </w:r>
      <w:hyperlink r:id="rId2">
        <w:r w:rsidRPr="00030969">
          <w:rPr>
            <w:rFonts w:ascii="Calibri" w:hAnsi="Calibri" w:cs="Calibri"/>
            <w:u w:val="single"/>
          </w:rPr>
          <w:t>Freedom of Association and Protection of the Right to Organise Convention</w:t>
        </w:r>
        <w:r w:rsidRPr="0079438F">
          <w:rPr>
            <w:rFonts w:ascii="Calibri" w:hAnsi="Calibri" w:cs="Calibri"/>
          </w:rPr>
          <w:t>, 1948 (No. 87)</w:t>
        </w:r>
      </w:hyperlink>
      <w:r w:rsidRPr="0079438F">
        <w:rPr>
          <w:rFonts w:ascii="Calibri" w:hAnsi="Calibri" w:cs="Calibri"/>
        </w:rPr>
        <w:t xml:space="preserve">, </w:t>
      </w:r>
      <w:hyperlink r:id="rId3">
        <w:r w:rsidRPr="00030969">
          <w:rPr>
            <w:rFonts w:ascii="Calibri" w:hAnsi="Calibri" w:cs="Calibri"/>
            <w:u w:val="single"/>
          </w:rPr>
          <w:t>Right to Organise and Collective Bargaining Convention</w:t>
        </w:r>
        <w:r w:rsidRPr="0079438F">
          <w:rPr>
            <w:rFonts w:ascii="Calibri" w:hAnsi="Calibri" w:cs="Calibri"/>
          </w:rPr>
          <w:t>, 1949 (No. 98)</w:t>
        </w:r>
      </w:hyperlink>
      <w:r w:rsidRPr="0079438F">
        <w:rPr>
          <w:rFonts w:ascii="Calibri" w:hAnsi="Calibri" w:cs="Calibri"/>
        </w:rPr>
        <w:t xml:space="preserve">, </w:t>
      </w:r>
      <w:hyperlink r:id="rId4">
        <w:r w:rsidRPr="00030969">
          <w:rPr>
            <w:rFonts w:ascii="Calibri" w:hAnsi="Calibri" w:cs="Calibri"/>
            <w:u w:val="single"/>
          </w:rPr>
          <w:t>Equal Remuneration Convention</w:t>
        </w:r>
        <w:r w:rsidRPr="0079438F">
          <w:rPr>
            <w:rFonts w:ascii="Calibri" w:hAnsi="Calibri" w:cs="Calibri"/>
          </w:rPr>
          <w:t>, 1951 (No. 100)</w:t>
        </w:r>
      </w:hyperlink>
      <w:r w:rsidRPr="0079438F">
        <w:rPr>
          <w:rFonts w:ascii="Calibri" w:hAnsi="Calibri" w:cs="Calibri"/>
        </w:rPr>
        <w:t xml:space="preserve">, </w:t>
      </w:r>
      <w:hyperlink r:id="rId5">
        <w:r w:rsidRPr="00030969">
          <w:rPr>
            <w:rFonts w:ascii="Calibri" w:hAnsi="Calibri" w:cs="Calibri"/>
            <w:u w:val="single"/>
          </w:rPr>
          <w:t>Abolition of Forced Labour Convention</w:t>
        </w:r>
        <w:r w:rsidRPr="0079438F">
          <w:rPr>
            <w:rFonts w:ascii="Calibri" w:hAnsi="Calibri" w:cs="Calibri"/>
          </w:rPr>
          <w:t>, 1957 (No. 105)</w:t>
        </w:r>
      </w:hyperlink>
      <w:r w:rsidRPr="0079438F">
        <w:rPr>
          <w:rFonts w:ascii="Calibri" w:hAnsi="Calibri" w:cs="Calibri"/>
        </w:rPr>
        <w:t xml:space="preserve">, </w:t>
      </w:r>
      <w:hyperlink r:id="rId6">
        <w:r w:rsidRPr="00030969">
          <w:rPr>
            <w:rFonts w:ascii="Calibri" w:hAnsi="Calibri" w:cs="Calibri"/>
            <w:u w:val="single"/>
          </w:rPr>
          <w:t xml:space="preserve">Discrimination (Employment and </w:t>
        </w:r>
        <w:r w:rsidRPr="00030969">
          <w:rPr>
            <w:u w:val="single"/>
          </w:rPr>
          <w:t>Occupation</w:t>
        </w:r>
        <w:r w:rsidRPr="00030969">
          <w:rPr>
            <w:rFonts w:ascii="Calibri" w:hAnsi="Calibri" w:cs="Calibri"/>
            <w:u w:val="single"/>
          </w:rPr>
          <w:t>) Convention</w:t>
        </w:r>
        <w:r w:rsidRPr="0079438F">
          <w:rPr>
            <w:rFonts w:ascii="Calibri" w:hAnsi="Calibri" w:cs="Calibri"/>
          </w:rPr>
          <w:t>, 1958 (No. 111)</w:t>
        </w:r>
      </w:hyperlink>
      <w:r w:rsidRPr="0079438F">
        <w:rPr>
          <w:rFonts w:ascii="Calibri" w:hAnsi="Calibri" w:cs="Calibri"/>
        </w:rPr>
        <w:t xml:space="preserve">, </w:t>
      </w:r>
      <w:hyperlink r:id="rId7">
        <w:r w:rsidRPr="00030969">
          <w:rPr>
            <w:rFonts w:ascii="Calibri" w:hAnsi="Calibri" w:cs="Calibri"/>
            <w:u w:val="single"/>
          </w:rPr>
          <w:t>Minimum Age Convention</w:t>
        </w:r>
        <w:r w:rsidRPr="0079438F">
          <w:rPr>
            <w:rFonts w:ascii="Calibri" w:hAnsi="Calibri" w:cs="Calibri"/>
          </w:rPr>
          <w:t>, 1973 (No. 138)</w:t>
        </w:r>
      </w:hyperlink>
      <w:r w:rsidRPr="0079438F">
        <w:rPr>
          <w:rFonts w:ascii="Calibri" w:hAnsi="Calibri" w:cs="Calibri"/>
        </w:rPr>
        <w:t xml:space="preserve"> and the </w:t>
      </w:r>
      <w:hyperlink r:id="rId8">
        <w:r w:rsidRPr="00030969">
          <w:rPr>
            <w:rFonts w:ascii="Calibri" w:hAnsi="Calibri" w:cs="Calibri"/>
            <w:u w:val="single"/>
          </w:rPr>
          <w:t>Worst Forms of Child Labour Convention</w:t>
        </w:r>
        <w:r w:rsidRPr="0079438F">
          <w:rPr>
            <w:rFonts w:ascii="Calibri" w:hAnsi="Calibri" w:cs="Calibri"/>
          </w:rPr>
          <w:t>, 1999 (No. 182)</w:t>
        </w:r>
      </w:hyperlink>
      <w:r w:rsidRPr="0079438F">
        <w:rPr>
          <w:rFonts w:ascii="Calibri" w:hAnsi="Calibri" w:cs="Calibri"/>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2A8CF8" w14:textId="01D4D6ED"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61312" behindDoc="1" locked="0" layoutInCell="1" allowOverlap="1" wp14:anchorId="340263FF" wp14:editId="5AC30933">
          <wp:simplePos x="0" y="0"/>
          <wp:positionH relativeFrom="margin">
            <wp:posOffset>0</wp:posOffset>
          </wp:positionH>
          <wp:positionV relativeFrom="paragraph">
            <wp:posOffset>-194149</wp:posOffset>
          </wp:positionV>
          <wp:extent cx="1294975" cy="364973"/>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41A877" w14:textId="7ED21E59" w:rsidR="00B46869" w:rsidRPr="002A3A28" w:rsidRDefault="00B46869" w:rsidP="002A3A2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CA8A9" w14:textId="258796DC"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9264" behindDoc="1" locked="0" layoutInCell="1" allowOverlap="1" wp14:anchorId="18D0FBD3" wp14:editId="24599536">
          <wp:simplePos x="0" y="0"/>
          <wp:positionH relativeFrom="margin">
            <wp:posOffset>0</wp:posOffset>
          </wp:positionH>
          <wp:positionV relativeFrom="paragraph">
            <wp:posOffset>-194149</wp:posOffset>
          </wp:positionV>
          <wp:extent cx="1294975" cy="364973"/>
          <wp:effectExtent l="0" t="0" r="63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83F57"/>
    <w:multiLevelType w:val="hybridMultilevel"/>
    <w:tmpl w:val="457AAE2A"/>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1" w15:restartNumberingAfterBreak="0">
    <w:nsid w:val="01D44390"/>
    <w:multiLevelType w:val="hybridMultilevel"/>
    <w:tmpl w:val="7CE02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512AD4"/>
    <w:multiLevelType w:val="multilevel"/>
    <w:tmpl w:val="FDB6B3A4"/>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BBC289D"/>
    <w:multiLevelType w:val="hybridMultilevel"/>
    <w:tmpl w:val="CD688C6C"/>
    <w:lvl w:ilvl="0" w:tplc="10CA6A42">
      <w:start w:val="1"/>
      <w:numFmt w:val="bullet"/>
      <w:pStyle w:val="Bullets"/>
      <w:lvlText w:val=""/>
      <w:lvlJc w:val="left"/>
      <w:pPr>
        <w:ind w:left="1440" w:hanging="360"/>
      </w:pPr>
      <w:rPr>
        <w:rFonts w:ascii="Symbol" w:hAnsi="Symbol" w:hint="default"/>
        <w:color w:val="57595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5875291"/>
    <w:multiLevelType w:val="multilevel"/>
    <w:tmpl w:val="B97412DA"/>
    <w:lvl w:ilvl="0">
      <w:start w:val="1"/>
      <w:numFmt w:val="decimal"/>
      <w:lvlText w:val="%1"/>
      <w:lvlJc w:val="left"/>
      <w:pPr>
        <w:ind w:left="315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6" w15:restartNumberingAfterBreak="0">
    <w:nsid w:val="2CBC55D9"/>
    <w:multiLevelType w:val="multilevel"/>
    <w:tmpl w:val="7D025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E5419C9"/>
    <w:multiLevelType w:val="hybridMultilevel"/>
    <w:tmpl w:val="E760F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F592FE8"/>
    <w:multiLevelType w:val="hybridMultilevel"/>
    <w:tmpl w:val="389C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A6867"/>
    <w:multiLevelType w:val="hybridMultilevel"/>
    <w:tmpl w:val="E6EEE14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3E725037"/>
    <w:multiLevelType w:val="multilevel"/>
    <w:tmpl w:val="517EBA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BFD7413"/>
    <w:multiLevelType w:val="hybridMultilevel"/>
    <w:tmpl w:val="81BC9A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1B00F55"/>
    <w:multiLevelType w:val="multilevel"/>
    <w:tmpl w:val="5978E246"/>
    <w:lvl w:ilvl="0">
      <w:start w:val="1"/>
      <w:numFmt w:val="decimal"/>
      <w:lvlText w:val="%1"/>
      <w:lvlJc w:val="left"/>
      <w:pPr>
        <w:ind w:left="432" w:hanging="432"/>
      </w:pPr>
      <w:rPr>
        <w:rFonts w:hint="default"/>
      </w:rPr>
    </w:lvl>
    <w:lvl w:ilvl="1">
      <w:start w:val="1"/>
      <w:numFmt w:val="decimal"/>
      <w:lvlText w:val="%1.%2"/>
      <w:lvlJc w:val="left"/>
      <w:pPr>
        <w:ind w:left="846" w:hanging="576"/>
      </w:pPr>
      <w:rPr>
        <w:rFonts w:asciiTheme="minorHAnsi" w:hAnsiTheme="minorHAnsi" w:cstheme="minorHAnsi" w:hint="default"/>
        <w:b w:val="0"/>
        <w:color w:val="DAAE28" w:themeColor="accent1"/>
        <w:sz w:val="22"/>
        <w:szCs w:val="24"/>
      </w:rPr>
    </w:lvl>
    <w:lvl w:ilvl="2">
      <w:start w:val="1"/>
      <w:numFmt w:val="decimal"/>
      <w:lvlText w:val="%1.%2.%3"/>
      <w:lvlJc w:val="left"/>
      <w:pPr>
        <w:ind w:left="720" w:hanging="720"/>
      </w:pPr>
      <w:rPr>
        <w:rFonts w:hint="default"/>
        <w:b/>
        <w:color w:val="DAAE28" w:themeColor="accent1"/>
        <w:sz w:val="20"/>
        <w:szCs w:val="20"/>
      </w:rPr>
    </w:lvl>
    <w:lvl w:ilvl="3">
      <w:start w:val="1"/>
      <w:numFmt w:val="decimal"/>
      <w:lvlText w:val="%1.%2.%3.%4"/>
      <w:lvlJc w:val="left"/>
      <w:pPr>
        <w:ind w:left="864" w:hanging="86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3332300"/>
    <w:multiLevelType w:val="hybridMultilevel"/>
    <w:tmpl w:val="FD761D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AB17B2B"/>
    <w:multiLevelType w:val="hybridMultilevel"/>
    <w:tmpl w:val="F5C6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6" w15:restartNumberingAfterBreak="0">
    <w:nsid w:val="5DBE07A2"/>
    <w:multiLevelType w:val="hybridMultilevel"/>
    <w:tmpl w:val="0B46BE80"/>
    <w:lvl w:ilvl="0" w:tplc="04090001">
      <w:start w:val="1"/>
      <w:numFmt w:val="bullet"/>
      <w:pStyle w:val="Heading3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pStyle w:val="Heading31"/>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AD000B5"/>
    <w:multiLevelType w:val="hybridMultilevel"/>
    <w:tmpl w:val="775ED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FCE0D03"/>
    <w:multiLevelType w:val="multilevel"/>
    <w:tmpl w:val="5BAC35EE"/>
    <w:lvl w:ilvl="0">
      <w:start w:val="1"/>
      <w:numFmt w:val="decimal"/>
      <w:pStyle w:val="Heading1"/>
      <w:lvlText w:val="%1"/>
      <w:lvlJc w:val="left"/>
      <w:pPr>
        <w:ind w:left="720" w:hanging="720"/>
      </w:pPr>
      <w:rPr>
        <w:rFonts w:hint="default"/>
        <w:color w:val="2B3A57"/>
      </w:rPr>
    </w:lvl>
    <w:lvl w:ilvl="1">
      <w:start w:val="1"/>
      <w:numFmt w:val="decimal"/>
      <w:pStyle w:val="Heading2"/>
      <w:lvlText w:val="%1.%2"/>
      <w:lvlJc w:val="left"/>
      <w:pPr>
        <w:ind w:left="7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9" w15:restartNumberingAfterBreak="0">
    <w:nsid w:val="74815B46"/>
    <w:multiLevelType w:val="hybridMultilevel"/>
    <w:tmpl w:val="A06A9C3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E27006C"/>
    <w:multiLevelType w:val="hybridMultilevel"/>
    <w:tmpl w:val="4E64A5C8"/>
    <w:lvl w:ilvl="0" w:tplc="51488DB8">
      <w:start w:val="1"/>
      <w:numFmt w:val="decimal"/>
      <w:lvlText w:val="%1."/>
      <w:lvlJc w:val="left"/>
      <w:pPr>
        <w:ind w:left="720" w:hanging="360"/>
      </w:pPr>
      <w:rPr>
        <w:rFonts w:eastAsia="MS Mincho" w:cs="Times New Roman" w:hint="default"/>
        <w:color w:val="4F5150" w:themeColor="tex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6"/>
  </w:num>
  <w:num w:numId="3">
    <w:abstractNumId w:val="3"/>
  </w:num>
  <w:num w:numId="4">
    <w:abstractNumId w:val="13"/>
  </w:num>
  <w:num w:numId="5">
    <w:abstractNumId w:val="19"/>
  </w:num>
  <w:num w:numId="6">
    <w:abstractNumId w:val="9"/>
  </w:num>
  <w:num w:numId="7">
    <w:abstractNumId w:val="8"/>
  </w:num>
  <w:num w:numId="8">
    <w:abstractNumId w:val="14"/>
  </w:num>
  <w:num w:numId="9">
    <w:abstractNumId w:val="0"/>
  </w:num>
  <w:num w:numId="10">
    <w:abstractNumId w:val="21"/>
  </w:num>
  <w:num w:numId="11">
    <w:abstractNumId w:val="12"/>
  </w:num>
  <w:num w:numId="12">
    <w:abstractNumId w:val="6"/>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8"/>
  </w:num>
  <w:num w:numId="21">
    <w:abstractNumId w:val="18"/>
  </w:num>
  <w:num w:numId="22">
    <w:abstractNumId w:val="20"/>
  </w:num>
  <w:num w:numId="23">
    <w:abstractNumId w:val="18"/>
  </w:num>
  <w:num w:numId="24">
    <w:abstractNumId w:val="18"/>
  </w:num>
  <w:num w:numId="25">
    <w:abstractNumId w:val="18"/>
  </w:num>
  <w:num w:numId="26">
    <w:abstractNumId w:val="4"/>
  </w:num>
  <w:num w:numId="27">
    <w:abstractNumId w:val="20"/>
  </w:num>
  <w:num w:numId="28">
    <w:abstractNumId w:val="18"/>
  </w:num>
  <w:num w:numId="29">
    <w:abstractNumId w:val="18"/>
  </w:num>
  <w:num w:numId="30">
    <w:abstractNumId w:val="18"/>
  </w:num>
  <w:num w:numId="31">
    <w:abstractNumId w:val="4"/>
  </w:num>
  <w:num w:numId="32">
    <w:abstractNumId w:val="20"/>
  </w:num>
  <w:num w:numId="33">
    <w:abstractNumId w:val="18"/>
  </w:num>
  <w:num w:numId="34">
    <w:abstractNumId w:val="15"/>
  </w:num>
  <w:num w:numId="35">
    <w:abstractNumId w:val="5"/>
  </w:num>
  <w:num w:numId="36">
    <w:abstractNumId w:val="18"/>
  </w:num>
  <w:num w:numId="37">
    <w:abstractNumId w:val="18"/>
  </w:num>
  <w:num w:numId="38">
    <w:abstractNumId w:val="18"/>
  </w:num>
  <w:num w:numId="39">
    <w:abstractNumId w:val="17"/>
  </w:num>
  <w:num w:numId="40">
    <w:abstractNumId w:val="1"/>
  </w:num>
  <w:num w:numId="41">
    <w:abstractNumId w:val="7"/>
  </w:num>
  <w:num w:numId="42">
    <w:abstractNumId w:val="11"/>
  </w:num>
  <w:num w:numId="43">
    <w:abstractNumId w:val="18"/>
    <w:lvlOverride w:ilvl="0">
      <w:startOverride w:val="2"/>
    </w:lvlOverride>
    <w:lvlOverride w:ilvl="1">
      <w:startOverride w:val="1"/>
    </w:lvlOverride>
    <w:lvlOverride w:ilvl="2">
      <w:startOverride w:val="6"/>
    </w:lvlOverride>
  </w:num>
  <w:num w:numId="44">
    <w:abstractNumId w:val="18"/>
    <w:lvlOverride w:ilvl="0">
      <w:startOverride w:val="6"/>
    </w:lvlOverride>
    <w:lvlOverride w:ilvl="1">
      <w:startOverride w:val="1"/>
    </w:lvlOverride>
    <w:lvlOverride w:ilvl="2">
      <w:startOverride w:val="1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8A6"/>
    <w:rsid w:val="000012C3"/>
    <w:rsid w:val="000040EA"/>
    <w:rsid w:val="00005855"/>
    <w:rsid w:val="00013E78"/>
    <w:rsid w:val="000143C0"/>
    <w:rsid w:val="000156D9"/>
    <w:rsid w:val="00017FAA"/>
    <w:rsid w:val="00021D8F"/>
    <w:rsid w:val="0002251D"/>
    <w:rsid w:val="00024CFD"/>
    <w:rsid w:val="00030969"/>
    <w:rsid w:val="0003165C"/>
    <w:rsid w:val="0003211D"/>
    <w:rsid w:val="00033140"/>
    <w:rsid w:val="000334E6"/>
    <w:rsid w:val="000336C9"/>
    <w:rsid w:val="000401C2"/>
    <w:rsid w:val="000436BC"/>
    <w:rsid w:val="00044DE1"/>
    <w:rsid w:val="000555A1"/>
    <w:rsid w:val="00055C3F"/>
    <w:rsid w:val="00056F0D"/>
    <w:rsid w:val="00060774"/>
    <w:rsid w:val="00074A07"/>
    <w:rsid w:val="00074DAB"/>
    <w:rsid w:val="00075080"/>
    <w:rsid w:val="00076C34"/>
    <w:rsid w:val="0007771F"/>
    <w:rsid w:val="00082807"/>
    <w:rsid w:val="000846E7"/>
    <w:rsid w:val="00084DC5"/>
    <w:rsid w:val="000853B2"/>
    <w:rsid w:val="00085432"/>
    <w:rsid w:val="0008641C"/>
    <w:rsid w:val="00090981"/>
    <w:rsid w:val="00094FDE"/>
    <w:rsid w:val="00097080"/>
    <w:rsid w:val="000A08AB"/>
    <w:rsid w:val="000A0FBA"/>
    <w:rsid w:val="000A4955"/>
    <w:rsid w:val="000A5ECA"/>
    <w:rsid w:val="000A7858"/>
    <w:rsid w:val="000A7ECC"/>
    <w:rsid w:val="000B0203"/>
    <w:rsid w:val="000B14F2"/>
    <w:rsid w:val="000B259B"/>
    <w:rsid w:val="000B3947"/>
    <w:rsid w:val="000C3B3F"/>
    <w:rsid w:val="000C3B79"/>
    <w:rsid w:val="000C4987"/>
    <w:rsid w:val="000C6835"/>
    <w:rsid w:val="000D0105"/>
    <w:rsid w:val="000D5587"/>
    <w:rsid w:val="000D5729"/>
    <w:rsid w:val="000D6B8C"/>
    <w:rsid w:val="000E475C"/>
    <w:rsid w:val="000F0B58"/>
    <w:rsid w:val="000F0F23"/>
    <w:rsid w:val="000F4070"/>
    <w:rsid w:val="000F513D"/>
    <w:rsid w:val="000F764F"/>
    <w:rsid w:val="00102AAD"/>
    <w:rsid w:val="00105715"/>
    <w:rsid w:val="001061E1"/>
    <w:rsid w:val="001114A7"/>
    <w:rsid w:val="0011190A"/>
    <w:rsid w:val="001128A6"/>
    <w:rsid w:val="001139B1"/>
    <w:rsid w:val="00114FF3"/>
    <w:rsid w:val="00116DAD"/>
    <w:rsid w:val="0011709B"/>
    <w:rsid w:val="00120784"/>
    <w:rsid w:val="001212C6"/>
    <w:rsid w:val="0012703B"/>
    <w:rsid w:val="0013098E"/>
    <w:rsid w:val="001336CE"/>
    <w:rsid w:val="00140098"/>
    <w:rsid w:val="001415A2"/>
    <w:rsid w:val="00146584"/>
    <w:rsid w:val="001518F8"/>
    <w:rsid w:val="00153513"/>
    <w:rsid w:val="00156178"/>
    <w:rsid w:val="001573EC"/>
    <w:rsid w:val="0016118D"/>
    <w:rsid w:val="0016195F"/>
    <w:rsid w:val="00175614"/>
    <w:rsid w:val="001760BA"/>
    <w:rsid w:val="00176C9C"/>
    <w:rsid w:val="001816F0"/>
    <w:rsid w:val="00184527"/>
    <w:rsid w:val="001925B4"/>
    <w:rsid w:val="00196B03"/>
    <w:rsid w:val="00196CBC"/>
    <w:rsid w:val="001A46E7"/>
    <w:rsid w:val="001A4703"/>
    <w:rsid w:val="001A4D38"/>
    <w:rsid w:val="001A583F"/>
    <w:rsid w:val="001A5F83"/>
    <w:rsid w:val="001A7CE7"/>
    <w:rsid w:val="001A7D14"/>
    <w:rsid w:val="001B403A"/>
    <w:rsid w:val="001B4ADE"/>
    <w:rsid w:val="001C0D6B"/>
    <w:rsid w:val="001C14B9"/>
    <w:rsid w:val="001D5A75"/>
    <w:rsid w:val="001E0C76"/>
    <w:rsid w:val="001E7631"/>
    <w:rsid w:val="001F62DB"/>
    <w:rsid w:val="001F7868"/>
    <w:rsid w:val="001F7AA3"/>
    <w:rsid w:val="002078A1"/>
    <w:rsid w:val="0021028F"/>
    <w:rsid w:val="0021043B"/>
    <w:rsid w:val="00214EE7"/>
    <w:rsid w:val="00215854"/>
    <w:rsid w:val="00216F3E"/>
    <w:rsid w:val="002341A0"/>
    <w:rsid w:val="00240CB9"/>
    <w:rsid w:val="002511CA"/>
    <w:rsid w:val="002534A8"/>
    <w:rsid w:val="00264BAE"/>
    <w:rsid w:val="00270D08"/>
    <w:rsid w:val="00271606"/>
    <w:rsid w:val="00274CCA"/>
    <w:rsid w:val="00276B9F"/>
    <w:rsid w:val="00281D9D"/>
    <w:rsid w:val="00282E38"/>
    <w:rsid w:val="00283592"/>
    <w:rsid w:val="0028419E"/>
    <w:rsid w:val="00285C5B"/>
    <w:rsid w:val="00286956"/>
    <w:rsid w:val="0029097B"/>
    <w:rsid w:val="00291F3C"/>
    <w:rsid w:val="00296ADC"/>
    <w:rsid w:val="00297376"/>
    <w:rsid w:val="00297595"/>
    <w:rsid w:val="00297CA4"/>
    <w:rsid w:val="002A03B8"/>
    <w:rsid w:val="002A21FE"/>
    <w:rsid w:val="002A3A28"/>
    <w:rsid w:val="002A6DDF"/>
    <w:rsid w:val="002B1642"/>
    <w:rsid w:val="002B6331"/>
    <w:rsid w:val="002C14E8"/>
    <w:rsid w:val="002C1611"/>
    <w:rsid w:val="002C18C4"/>
    <w:rsid w:val="002C26A0"/>
    <w:rsid w:val="002C32C0"/>
    <w:rsid w:val="002C51C0"/>
    <w:rsid w:val="002C70AD"/>
    <w:rsid w:val="002C7911"/>
    <w:rsid w:val="002D2075"/>
    <w:rsid w:val="002D349D"/>
    <w:rsid w:val="002E70EB"/>
    <w:rsid w:val="002F0AE2"/>
    <w:rsid w:val="002F36FC"/>
    <w:rsid w:val="002F43D1"/>
    <w:rsid w:val="002F46FA"/>
    <w:rsid w:val="002F5474"/>
    <w:rsid w:val="002F63B9"/>
    <w:rsid w:val="002F7ABB"/>
    <w:rsid w:val="002F7B5F"/>
    <w:rsid w:val="00300B79"/>
    <w:rsid w:val="00305699"/>
    <w:rsid w:val="00305C7B"/>
    <w:rsid w:val="00305C93"/>
    <w:rsid w:val="00306428"/>
    <w:rsid w:val="00310455"/>
    <w:rsid w:val="00310BE8"/>
    <w:rsid w:val="00310D62"/>
    <w:rsid w:val="00313EA3"/>
    <w:rsid w:val="00314616"/>
    <w:rsid w:val="0031501A"/>
    <w:rsid w:val="0031771B"/>
    <w:rsid w:val="0032163D"/>
    <w:rsid w:val="00324DDF"/>
    <w:rsid w:val="0032727A"/>
    <w:rsid w:val="0033045E"/>
    <w:rsid w:val="0033394A"/>
    <w:rsid w:val="0033547A"/>
    <w:rsid w:val="00340A18"/>
    <w:rsid w:val="00342808"/>
    <w:rsid w:val="0034531B"/>
    <w:rsid w:val="00347778"/>
    <w:rsid w:val="00351CA3"/>
    <w:rsid w:val="00351EF7"/>
    <w:rsid w:val="0035284D"/>
    <w:rsid w:val="00352945"/>
    <w:rsid w:val="00352F23"/>
    <w:rsid w:val="00362399"/>
    <w:rsid w:val="00362F5E"/>
    <w:rsid w:val="00366351"/>
    <w:rsid w:val="00367D26"/>
    <w:rsid w:val="00371142"/>
    <w:rsid w:val="00374F4A"/>
    <w:rsid w:val="00375E12"/>
    <w:rsid w:val="00377159"/>
    <w:rsid w:val="00381ABF"/>
    <w:rsid w:val="003838EA"/>
    <w:rsid w:val="0038449E"/>
    <w:rsid w:val="003865E2"/>
    <w:rsid w:val="00390DF3"/>
    <w:rsid w:val="00393466"/>
    <w:rsid w:val="0039610F"/>
    <w:rsid w:val="003A21B1"/>
    <w:rsid w:val="003A43D8"/>
    <w:rsid w:val="003B0484"/>
    <w:rsid w:val="003B5E87"/>
    <w:rsid w:val="003B7E7D"/>
    <w:rsid w:val="003C19C7"/>
    <w:rsid w:val="003C7DBB"/>
    <w:rsid w:val="003D792B"/>
    <w:rsid w:val="003D7FF3"/>
    <w:rsid w:val="003E0747"/>
    <w:rsid w:val="003E1757"/>
    <w:rsid w:val="003E6F1E"/>
    <w:rsid w:val="003F2323"/>
    <w:rsid w:val="003F3ED0"/>
    <w:rsid w:val="003F4802"/>
    <w:rsid w:val="003F6F55"/>
    <w:rsid w:val="00407887"/>
    <w:rsid w:val="00415F29"/>
    <w:rsid w:val="00417150"/>
    <w:rsid w:val="00417BF0"/>
    <w:rsid w:val="0042296D"/>
    <w:rsid w:val="00426E05"/>
    <w:rsid w:val="004273ED"/>
    <w:rsid w:val="00432476"/>
    <w:rsid w:val="00436EE5"/>
    <w:rsid w:val="004416DF"/>
    <w:rsid w:val="004436ED"/>
    <w:rsid w:val="00443E2D"/>
    <w:rsid w:val="00444FAB"/>
    <w:rsid w:val="0045008D"/>
    <w:rsid w:val="00452A88"/>
    <w:rsid w:val="00453512"/>
    <w:rsid w:val="00453B95"/>
    <w:rsid w:val="00455D09"/>
    <w:rsid w:val="00464E3A"/>
    <w:rsid w:val="00467934"/>
    <w:rsid w:val="0047150F"/>
    <w:rsid w:val="0047257D"/>
    <w:rsid w:val="004726A6"/>
    <w:rsid w:val="004736C5"/>
    <w:rsid w:val="0047625C"/>
    <w:rsid w:val="004853A6"/>
    <w:rsid w:val="00496FF5"/>
    <w:rsid w:val="004A1494"/>
    <w:rsid w:val="004A1BFB"/>
    <w:rsid w:val="004A29F3"/>
    <w:rsid w:val="004A50D0"/>
    <w:rsid w:val="004A5588"/>
    <w:rsid w:val="004A6D75"/>
    <w:rsid w:val="004B2ECE"/>
    <w:rsid w:val="004B3D6C"/>
    <w:rsid w:val="004B528E"/>
    <w:rsid w:val="004B57BD"/>
    <w:rsid w:val="004C0A09"/>
    <w:rsid w:val="004C3593"/>
    <w:rsid w:val="004C4B95"/>
    <w:rsid w:val="004E0E4F"/>
    <w:rsid w:val="004E35E6"/>
    <w:rsid w:val="004E69C0"/>
    <w:rsid w:val="004F5031"/>
    <w:rsid w:val="004F5B5E"/>
    <w:rsid w:val="004F5E11"/>
    <w:rsid w:val="005005EE"/>
    <w:rsid w:val="0050155A"/>
    <w:rsid w:val="005122CF"/>
    <w:rsid w:val="00522627"/>
    <w:rsid w:val="00522D0E"/>
    <w:rsid w:val="0053161F"/>
    <w:rsid w:val="00533689"/>
    <w:rsid w:val="00533752"/>
    <w:rsid w:val="00533BFD"/>
    <w:rsid w:val="00535990"/>
    <w:rsid w:val="005410E0"/>
    <w:rsid w:val="005445AE"/>
    <w:rsid w:val="00545D9C"/>
    <w:rsid w:val="00557FE9"/>
    <w:rsid w:val="00563A66"/>
    <w:rsid w:val="00563E91"/>
    <w:rsid w:val="00564A69"/>
    <w:rsid w:val="00571EB8"/>
    <w:rsid w:val="00572E41"/>
    <w:rsid w:val="00577133"/>
    <w:rsid w:val="005776B8"/>
    <w:rsid w:val="00583907"/>
    <w:rsid w:val="00583C98"/>
    <w:rsid w:val="00585FDF"/>
    <w:rsid w:val="00591490"/>
    <w:rsid w:val="00595934"/>
    <w:rsid w:val="005A1230"/>
    <w:rsid w:val="005A499E"/>
    <w:rsid w:val="005B2999"/>
    <w:rsid w:val="005B2C43"/>
    <w:rsid w:val="005B2CDE"/>
    <w:rsid w:val="005B4583"/>
    <w:rsid w:val="005B48B7"/>
    <w:rsid w:val="005B6343"/>
    <w:rsid w:val="005C03B1"/>
    <w:rsid w:val="005C18D6"/>
    <w:rsid w:val="005C2CE9"/>
    <w:rsid w:val="005C5A23"/>
    <w:rsid w:val="005C691C"/>
    <w:rsid w:val="005D38E1"/>
    <w:rsid w:val="005D60C6"/>
    <w:rsid w:val="005E3815"/>
    <w:rsid w:val="005E7392"/>
    <w:rsid w:val="005E7C70"/>
    <w:rsid w:val="005F0F43"/>
    <w:rsid w:val="005F692F"/>
    <w:rsid w:val="0060123B"/>
    <w:rsid w:val="006030A0"/>
    <w:rsid w:val="006056A2"/>
    <w:rsid w:val="00605983"/>
    <w:rsid w:val="006113D0"/>
    <w:rsid w:val="00614224"/>
    <w:rsid w:val="0061526E"/>
    <w:rsid w:val="00617DC9"/>
    <w:rsid w:val="00627F58"/>
    <w:rsid w:val="00630612"/>
    <w:rsid w:val="00632746"/>
    <w:rsid w:val="00634F9C"/>
    <w:rsid w:val="006356E0"/>
    <w:rsid w:val="00640B79"/>
    <w:rsid w:val="00643BF7"/>
    <w:rsid w:val="00644159"/>
    <w:rsid w:val="00647F2E"/>
    <w:rsid w:val="0065225A"/>
    <w:rsid w:val="00655050"/>
    <w:rsid w:val="006552B0"/>
    <w:rsid w:val="00656077"/>
    <w:rsid w:val="006570C8"/>
    <w:rsid w:val="006618D7"/>
    <w:rsid w:val="006647F9"/>
    <w:rsid w:val="006704A1"/>
    <w:rsid w:val="00675473"/>
    <w:rsid w:val="00675A88"/>
    <w:rsid w:val="00675EF9"/>
    <w:rsid w:val="00677B58"/>
    <w:rsid w:val="00680AFD"/>
    <w:rsid w:val="006847AE"/>
    <w:rsid w:val="00685C16"/>
    <w:rsid w:val="00687089"/>
    <w:rsid w:val="00687BBF"/>
    <w:rsid w:val="0069251B"/>
    <w:rsid w:val="00693F29"/>
    <w:rsid w:val="00695150"/>
    <w:rsid w:val="006A374F"/>
    <w:rsid w:val="006A3AED"/>
    <w:rsid w:val="006A4E1D"/>
    <w:rsid w:val="006A7B12"/>
    <w:rsid w:val="006B2EB4"/>
    <w:rsid w:val="006B34CA"/>
    <w:rsid w:val="006B414A"/>
    <w:rsid w:val="006B4AF4"/>
    <w:rsid w:val="006B6568"/>
    <w:rsid w:val="006B672C"/>
    <w:rsid w:val="006B6E96"/>
    <w:rsid w:val="006C2D06"/>
    <w:rsid w:val="006C4C47"/>
    <w:rsid w:val="006D70EC"/>
    <w:rsid w:val="006E1B69"/>
    <w:rsid w:val="006E2A55"/>
    <w:rsid w:val="006E2CAB"/>
    <w:rsid w:val="006E3233"/>
    <w:rsid w:val="006E37DA"/>
    <w:rsid w:val="006F01BB"/>
    <w:rsid w:val="006F4D14"/>
    <w:rsid w:val="00701003"/>
    <w:rsid w:val="0070283E"/>
    <w:rsid w:val="0070435C"/>
    <w:rsid w:val="00705D56"/>
    <w:rsid w:val="00710AFD"/>
    <w:rsid w:val="00720075"/>
    <w:rsid w:val="007229E5"/>
    <w:rsid w:val="00726235"/>
    <w:rsid w:val="007311DA"/>
    <w:rsid w:val="007312A2"/>
    <w:rsid w:val="00731616"/>
    <w:rsid w:val="00732218"/>
    <w:rsid w:val="00733B6C"/>
    <w:rsid w:val="00734D77"/>
    <w:rsid w:val="00740B6C"/>
    <w:rsid w:val="007410D9"/>
    <w:rsid w:val="00742677"/>
    <w:rsid w:val="007455DC"/>
    <w:rsid w:val="00746929"/>
    <w:rsid w:val="0075025F"/>
    <w:rsid w:val="00752BA0"/>
    <w:rsid w:val="00752EBE"/>
    <w:rsid w:val="0075354B"/>
    <w:rsid w:val="00755BC5"/>
    <w:rsid w:val="00757BF6"/>
    <w:rsid w:val="00757C2A"/>
    <w:rsid w:val="0076189D"/>
    <w:rsid w:val="00761A82"/>
    <w:rsid w:val="00775382"/>
    <w:rsid w:val="00776930"/>
    <w:rsid w:val="007770E9"/>
    <w:rsid w:val="00780C91"/>
    <w:rsid w:val="0078229C"/>
    <w:rsid w:val="0078372D"/>
    <w:rsid w:val="00785881"/>
    <w:rsid w:val="00787636"/>
    <w:rsid w:val="0079210A"/>
    <w:rsid w:val="00792177"/>
    <w:rsid w:val="00793397"/>
    <w:rsid w:val="00793632"/>
    <w:rsid w:val="00793810"/>
    <w:rsid w:val="0079438F"/>
    <w:rsid w:val="00797E90"/>
    <w:rsid w:val="007A049E"/>
    <w:rsid w:val="007A2E8B"/>
    <w:rsid w:val="007A3415"/>
    <w:rsid w:val="007A3C5D"/>
    <w:rsid w:val="007A61BC"/>
    <w:rsid w:val="007A6B0D"/>
    <w:rsid w:val="007B0168"/>
    <w:rsid w:val="007B51E5"/>
    <w:rsid w:val="007B660B"/>
    <w:rsid w:val="007C1716"/>
    <w:rsid w:val="007C5502"/>
    <w:rsid w:val="007E0BCA"/>
    <w:rsid w:val="007E2349"/>
    <w:rsid w:val="007E631B"/>
    <w:rsid w:val="007E796A"/>
    <w:rsid w:val="007F0616"/>
    <w:rsid w:val="007F1AC2"/>
    <w:rsid w:val="00801AD6"/>
    <w:rsid w:val="008048C6"/>
    <w:rsid w:val="0080583B"/>
    <w:rsid w:val="00806AE3"/>
    <w:rsid w:val="00812576"/>
    <w:rsid w:val="00812B27"/>
    <w:rsid w:val="008131E9"/>
    <w:rsid w:val="008143E6"/>
    <w:rsid w:val="00816933"/>
    <w:rsid w:val="008231DB"/>
    <w:rsid w:val="00823519"/>
    <w:rsid w:val="00823AF5"/>
    <w:rsid w:val="00824568"/>
    <w:rsid w:val="008249E7"/>
    <w:rsid w:val="00830FBB"/>
    <w:rsid w:val="0083342C"/>
    <w:rsid w:val="00845276"/>
    <w:rsid w:val="008470E0"/>
    <w:rsid w:val="00851B8D"/>
    <w:rsid w:val="008533DA"/>
    <w:rsid w:val="008555B2"/>
    <w:rsid w:val="008556F8"/>
    <w:rsid w:val="008615DC"/>
    <w:rsid w:val="00861E70"/>
    <w:rsid w:val="008653FD"/>
    <w:rsid w:val="008655C8"/>
    <w:rsid w:val="00867FF2"/>
    <w:rsid w:val="00872E35"/>
    <w:rsid w:val="00875D21"/>
    <w:rsid w:val="0087717F"/>
    <w:rsid w:val="00881332"/>
    <w:rsid w:val="00882979"/>
    <w:rsid w:val="00883E33"/>
    <w:rsid w:val="0089275C"/>
    <w:rsid w:val="008A55BB"/>
    <w:rsid w:val="008A7584"/>
    <w:rsid w:val="008B4DA5"/>
    <w:rsid w:val="008B62AA"/>
    <w:rsid w:val="008B7F69"/>
    <w:rsid w:val="008C075D"/>
    <w:rsid w:val="008C2F71"/>
    <w:rsid w:val="008C3621"/>
    <w:rsid w:val="008C3D17"/>
    <w:rsid w:val="008C7D47"/>
    <w:rsid w:val="008D15C4"/>
    <w:rsid w:val="008D2489"/>
    <w:rsid w:val="008D3CFC"/>
    <w:rsid w:val="008D6DC2"/>
    <w:rsid w:val="008D746A"/>
    <w:rsid w:val="008E4C7E"/>
    <w:rsid w:val="008E4E17"/>
    <w:rsid w:val="008F0969"/>
    <w:rsid w:val="008F165E"/>
    <w:rsid w:val="008F3F87"/>
    <w:rsid w:val="008F5ABA"/>
    <w:rsid w:val="008F5F56"/>
    <w:rsid w:val="008F7F49"/>
    <w:rsid w:val="00903E73"/>
    <w:rsid w:val="00905529"/>
    <w:rsid w:val="00905C90"/>
    <w:rsid w:val="00911047"/>
    <w:rsid w:val="0091520F"/>
    <w:rsid w:val="00915635"/>
    <w:rsid w:val="009219D8"/>
    <w:rsid w:val="00922BD2"/>
    <w:rsid w:val="00923540"/>
    <w:rsid w:val="00932F4F"/>
    <w:rsid w:val="00934367"/>
    <w:rsid w:val="009355B6"/>
    <w:rsid w:val="00936825"/>
    <w:rsid w:val="00936B8C"/>
    <w:rsid w:val="00952F24"/>
    <w:rsid w:val="00953556"/>
    <w:rsid w:val="0095362F"/>
    <w:rsid w:val="00954F38"/>
    <w:rsid w:val="009568BC"/>
    <w:rsid w:val="009575DF"/>
    <w:rsid w:val="00957952"/>
    <w:rsid w:val="00957CAC"/>
    <w:rsid w:val="009625C0"/>
    <w:rsid w:val="009651BA"/>
    <w:rsid w:val="00967768"/>
    <w:rsid w:val="00970B6A"/>
    <w:rsid w:val="00972281"/>
    <w:rsid w:val="00976EF3"/>
    <w:rsid w:val="00981024"/>
    <w:rsid w:val="00982AA6"/>
    <w:rsid w:val="00982BCC"/>
    <w:rsid w:val="00986A53"/>
    <w:rsid w:val="009924EB"/>
    <w:rsid w:val="009928DF"/>
    <w:rsid w:val="00993642"/>
    <w:rsid w:val="00997356"/>
    <w:rsid w:val="00997975"/>
    <w:rsid w:val="009A0A95"/>
    <w:rsid w:val="009A3528"/>
    <w:rsid w:val="009A4A2B"/>
    <w:rsid w:val="009A4C8C"/>
    <w:rsid w:val="009A4E45"/>
    <w:rsid w:val="009A6786"/>
    <w:rsid w:val="009B0EB2"/>
    <w:rsid w:val="009B20E4"/>
    <w:rsid w:val="009C0AD6"/>
    <w:rsid w:val="009C325D"/>
    <w:rsid w:val="009C6D7C"/>
    <w:rsid w:val="009D50F3"/>
    <w:rsid w:val="009D69D9"/>
    <w:rsid w:val="009E0D43"/>
    <w:rsid w:val="009E0F77"/>
    <w:rsid w:val="009E41FE"/>
    <w:rsid w:val="009E5D2A"/>
    <w:rsid w:val="009E5EBE"/>
    <w:rsid w:val="009E612E"/>
    <w:rsid w:val="009F2AA4"/>
    <w:rsid w:val="00A04909"/>
    <w:rsid w:val="00A05C07"/>
    <w:rsid w:val="00A07536"/>
    <w:rsid w:val="00A11344"/>
    <w:rsid w:val="00A11E80"/>
    <w:rsid w:val="00A12A4B"/>
    <w:rsid w:val="00A14D00"/>
    <w:rsid w:val="00A14E8A"/>
    <w:rsid w:val="00A226CA"/>
    <w:rsid w:val="00A31191"/>
    <w:rsid w:val="00A341FA"/>
    <w:rsid w:val="00A375E3"/>
    <w:rsid w:val="00A40B7F"/>
    <w:rsid w:val="00A50432"/>
    <w:rsid w:val="00A53DF4"/>
    <w:rsid w:val="00A677D1"/>
    <w:rsid w:val="00A7068D"/>
    <w:rsid w:val="00A74766"/>
    <w:rsid w:val="00A76838"/>
    <w:rsid w:val="00A814FE"/>
    <w:rsid w:val="00A86CAB"/>
    <w:rsid w:val="00A876FE"/>
    <w:rsid w:val="00A93D6D"/>
    <w:rsid w:val="00AB3E06"/>
    <w:rsid w:val="00AB41D9"/>
    <w:rsid w:val="00AC0EF6"/>
    <w:rsid w:val="00AC2860"/>
    <w:rsid w:val="00AC767E"/>
    <w:rsid w:val="00AC7AB8"/>
    <w:rsid w:val="00AD2D5F"/>
    <w:rsid w:val="00AD43E4"/>
    <w:rsid w:val="00AD75CE"/>
    <w:rsid w:val="00AE432A"/>
    <w:rsid w:val="00AE721F"/>
    <w:rsid w:val="00AF244D"/>
    <w:rsid w:val="00AF4519"/>
    <w:rsid w:val="00AF4730"/>
    <w:rsid w:val="00AF5BD2"/>
    <w:rsid w:val="00B001BB"/>
    <w:rsid w:val="00B00EC9"/>
    <w:rsid w:val="00B019E0"/>
    <w:rsid w:val="00B02B76"/>
    <w:rsid w:val="00B10269"/>
    <w:rsid w:val="00B14886"/>
    <w:rsid w:val="00B225E4"/>
    <w:rsid w:val="00B234FA"/>
    <w:rsid w:val="00B24B9C"/>
    <w:rsid w:val="00B25BDD"/>
    <w:rsid w:val="00B26543"/>
    <w:rsid w:val="00B32819"/>
    <w:rsid w:val="00B3286B"/>
    <w:rsid w:val="00B34131"/>
    <w:rsid w:val="00B3593B"/>
    <w:rsid w:val="00B35A16"/>
    <w:rsid w:val="00B360E5"/>
    <w:rsid w:val="00B43C3E"/>
    <w:rsid w:val="00B43E3E"/>
    <w:rsid w:val="00B43EC5"/>
    <w:rsid w:val="00B452CF"/>
    <w:rsid w:val="00B458E5"/>
    <w:rsid w:val="00B46869"/>
    <w:rsid w:val="00B52F9B"/>
    <w:rsid w:val="00B6168F"/>
    <w:rsid w:val="00B65792"/>
    <w:rsid w:val="00B67D11"/>
    <w:rsid w:val="00B75DC8"/>
    <w:rsid w:val="00B76103"/>
    <w:rsid w:val="00B80DA4"/>
    <w:rsid w:val="00B92AD4"/>
    <w:rsid w:val="00B938ED"/>
    <w:rsid w:val="00B93FCF"/>
    <w:rsid w:val="00B979DF"/>
    <w:rsid w:val="00BA0B2C"/>
    <w:rsid w:val="00BA1C74"/>
    <w:rsid w:val="00BA2431"/>
    <w:rsid w:val="00BA3B0B"/>
    <w:rsid w:val="00BA609E"/>
    <w:rsid w:val="00BB0BDD"/>
    <w:rsid w:val="00BC11EE"/>
    <w:rsid w:val="00BC449D"/>
    <w:rsid w:val="00BC465A"/>
    <w:rsid w:val="00BC4B1E"/>
    <w:rsid w:val="00BC6BD2"/>
    <w:rsid w:val="00BC72C3"/>
    <w:rsid w:val="00BD1E32"/>
    <w:rsid w:val="00BD4A53"/>
    <w:rsid w:val="00BD714E"/>
    <w:rsid w:val="00BD723B"/>
    <w:rsid w:val="00BD779C"/>
    <w:rsid w:val="00BE10F9"/>
    <w:rsid w:val="00BF3572"/>
    <w:rsid w:val="00BF3B33"/>
    <w:rsid w:val="00BF5D22"/>
    <w:rsid w:val="00BF6492"/>
    <w:rsid w:val="00C00212"/>
    <w:rsid w:val="00C00FC3"/>
    <w:rsid w:val="00C04C8B"/>
    <w:rsid w:val="00C11256"/>
    <w:rsid w:val="00C12F81"/>
    <w:rsid w:val="00C14C02"/>
    <w:rsid w:val="00C17B61"/>
    <w:rsid w:val="00C21CD2"/>
    <w:rsid w:val="00C25CD5"/>
    <w:rsid w:val="00C25E01"/>
    <w:rsid w:val="00C26921"/>
    <w:rsid w:val="00C36B49"/>
    <w:rsid w:val="00C37B9C"/>
    <w:rsid w:val="00C40654"/>
    <w:rsid w:val="00C418C5"/>
    <w:rsid w:val="00C42654"/>
    <w:rsid w:val="00C4295F"/>
    <w:rsid w:val="00C42B0F"/>
    <w:rsid w:val="00C45410"/>
    <w:rsid w:val="00C465B4"/>
    <w:rsid w:val="00C46B18"/>
    <w:rsid w:val="00C51A5E"/>
    <w:rsid w:val="00C60643"/>
    <w:rsid w:val="00C61C6A"/>
    <w:rsid w:val="00C62606"/>
    <w:rsid w:val="00C64AF2"/>
    <w:rsid w:val="00C75009"/>
    <w:rsid w:val="00C8022E"/>
    <w:rsid w:val="00C822B4"/>
    <w:rsid w:val="00C86ECE"/>
    <w:rsid w:val="00C87579"/>
    <w:rsid w:val="00C87AA4"/>
    <w:rsid w:val="00C90A10"/>
    <w:rsid w:val="00C95C97"/>
    <w:rsid w:val="00C97F41"/>
    <w:rsid w:val="00CA0D5D"/>
    <w:rsid w:val="00CA267C"/>
    <w:rsid w:val="00CA29A8"/>
    <w:rsid w:val="00CA301B"/>
    <w:rsid w:val="00CA3275"/>
    <w:rsid w:val="00CB0612"/>
    <w:rsid w:val="00CB4DE9"/>
    <w:rsid w:val="00CB715C"/>
    <w:rsid w:val="00CB7A6A"/>
    <w:rsid w:val="00CC2237"/>
    <w:rsid w:val="00CC33B5"/>
    <w:rsid w:val="00CC548D"/>
    <w:rsid w:val="00CC6CBB"/>
    <w:rsid w:val="00CD3949"/>
    <w:rsid w:val="00CE133B"/>
    <w:rsid w:val="00CE17A1"/>
    <w:rsid w:val="00CE7354"/>
    <w:rsid w:val="00CF2B8C"/>
    <w:rsid w:val="00CF32B6"/>
    <w:rsid w:val="00D010E4"/>
    <w:rsid w:val="00D06B65"/>
    <w:rsid w:val="00D109C1"/>
    <w:rsid w:val="00D12310"/>
    <w:rsid w:val="00D1430E"/>
    <w:rsid w:val="00D15ECD"/>
    <w:rsid w:val="00D16846"/>
    <w:rsid w:val="00D23893"/>
    <w:rsid w:val="00D25D0E"/>
    <w:rsid w:val="00D3098D"/>
    <w:rsid w:val="00D37BBC"/>
    <w:rsid w:val="00D406A6"/>
    <w:rsid w:val="00D426A9"/>
    <w:rsid w:val="00D436CB"/>
    <w:rsid w:val="00D447F3"/>
    <w:rsid w:val="00D44975"/>
    <w:rsid w:val="00D46F1D"/>
    <w:rsid w:val="00D47A1C"/>
    <w:rsid w:val="00D5442E"/>
    <w:rsid w:val="00D563CB"/>
    <w:rsid w:val="00D607A8"/>
    <w:rsid w:val="00D6234E"/>
    <w:rsid w:val="00D629EC"/>
    <w:rsid w:val="00D751FC"/>
    <w:rsid w:val="00D754EA"/>
    <w:rsid w:val="00D76491"/>
    <w:rsid w:val="00D76CAE"/>
    <w:rsid w:val="00D802AA"/>
    <w:rsid w:val="00D854B9"/>
    <w:rsid w:val="00D877BF"/>
    <w:rsid w:val="00D9451D"/>
    <w:rsid w:val="00DA0CFA"/>
    <w:rsid w:val="00DA411E"/>
    <w:rsid w:val="00DA5EAF"/>
    <w:rsid w:val="00DA68A9"/>
    <w:rsid w:val="00DA759D"/>
    <w:rsid w:val="00DB0C89"/>
    <w:rsid w:val="00DB1FB4"/>
    <w:rsid w:val="00DB240D"/>
    <w:rsid w:val="00DB4003"/>
    <w:rsid w:val="00DB4DA1"/>
    <w:rsid w:val="00DB6EE5"/>
    <w:rsid w:val="00DC3FC4"/>
    <w:rsid w:val="00DD203B"/>
    <w:rsid w:val="00DD4A09"/>
    <w:rsid w:val="00DD6612"/>
    <w:rsid w:val="00DD6971"/>
    <w:rsid w:val="00DE1395"/>
    <w:rsid w:val="00DE20CB"/>
    <w:rsid w:val="00DF3F27"/>
    <w:rsid w:val="00DF47BC"/>
    <w:rsid w:val="00DF6FEE"/>
    <w:rsid w:val="00E05B6A"/>
    <w:rsid w:val="00E12612"/>
    <w:rsid w:val="00E12FB0"/>
    <w:rsid w:val="00E16B46"/>
    <w:rsid w:val="00E23D86"/>
    <w:rsid w:val="00E25681"/>
    <w:rsid w:val="00E263E8"/>
    <w:rsid w:val="00E30FF0"/>
    <w:rsid w:val="00E37318"/>
    <w:rsid w:val="00E37BA2"/>
    <w:rsid w:val="00E46805"/>
    <w:rsid w:val="00E50188"/>
    <w:rsid w:val="00E504E2"/>
    <w:rsid w:val="00E54240"/>
    <w:rsid w:val="00E54EFB"/>
    <w:rsid w:val="00E56984"/>
    <w:rsid w:val="00E70E8C"/>
    <w:rsid w:val="00E715B7"/>
    <w:rsid w:val="00E74E00"/>
    <w:rsid w:val="00E76DDF"/>
    <w:rsid w:val="00E8041F"/>
    <w:rsid w:val="00E8325D"/>
    <w:rsid w:val="00E832E6"/>
    <w:rsid w:val="00E90F5B"/>
    <w:rsid w:val="00E926FE"/>
    <w:rsid w:val="00E95DCC"/>
    <w:rsid w:val="00E96FC0"/>
    <w:rsid w:val="00EA0894"/>
    <w:rsid w:val="00EA5197"/>
    <w:rsid w:val="00EA62F0"/>
    <w:rsid w:val="00EA6E3D"/>
    <w:rsid w:val="00EB1673"/>
    <w:rsid w:val="00EC0E78"/>
    <w:rsid w:val="00EC3880"/>
    <w:rsid w:val="00EC5D29"/>
    <w:rsid w:val="00ED171A"/>
    <w:rsid w:val="00ED2EA9"/>
    <w:rsid w:val="00EE0A5C"/>
    <w:rsid w:val="00EE0E17"/>
    <w:rsid w:val="00EE0EA2"/>
    <w:rsid w:val="00EE2D59"/>
    <w:rsid w:val="00EE63E0"/>
    <w:rsid w:val="00EF0AE2"/>
    <w:rsid w:val="00EF114D"/>
    <w:rsid w:val="00EF1A9E"/>
    <w:rsid w:val="00F0056C"/>
    <w:rsid w:val="00F00DBF"/>
    <w:rsid w:val="00F04D3A"/>
    <w:rsid w:val="00F04FAB"/>
    <w:rsid w:val="00F070F4"/>
    <w:rsid w:val="00F25351"/>
    <w:rsid w:val="00F25A34"/>
    <w:rsid w:val="00F25B1B"/>
    <w:rsid w:val="00F25BC6"/>
    <w:rsid w:val="00F31A21"/>
    <w:rsid w:val="00F37FBA"/>
    <w:rsid w:val="00F40505"/>
    <w:rsid w:val="00F409F0"/>
    <w:rsid w:val="00F41A87"/>
    <w:rsid w:val="00F42888"/>
    <w:rsid w:val="00F428C5"/>
    <w:rsid w:val="00F43031"/>
    <w:rsid w:val="00F453B8"/>
    <w:rsid w:val="00F521C5"/>
    <w:rsid w:val="00F528DF"/>
    <w:rsid w:val="00F54DF1"/>
    <w:rsid w:val="00F5531B"/>
    <w:rsid w:val="00F56B40"/>
    <w:rsid w:val="00F701FC"/>
    <w:rsid w:val="00F74302"/>
    <w:rsid w:val="00F75EAD"/>
    <w:rsid w:val="00F77293"/>
    <w:rsid w:val="00F777CC"/>
    <w:rsid w:val="00F83EEC"/>
    <w:rsid w:val="00F867EB"/>
    <w:rsid w:val="00F8683A"/>
    <w:rsid w:val="00F86A92"/>
    <w:rsid w:val="00F876EA"/>
    <w:rsid w:val="00F93492"/>
    <w:rsid w:val="00F972EA"/>
    <w:rsid w:val="00FA292D"/>
    <w:rsid w:val="00FA3484"/>
    <w:rsid w:val="00FA3602"/>
    <w:rsid w:val="00FA652B"/>
    <w:rsid w:val="00FA7C1C"/>
    <w:rsid w:val="00FA7E84"/>
    <w:rsid w:val="00FB099E"/>
    <w:rsid w:val="00FB3465"/>
    <w:rsid w:val="00FC13F8"/>
    <w:rsid w:val="00FC23E1"/>
    <w:rsid w:val="00FC2A6D"/>
    <w:rsid w:val="00FC3B93"/>
    <w:rsid w:val="00FC7D7A"/>
    <w:rsid w:val="00FD0BD2"/>
    <w:rsid w:val="00FD283C"/>
    <w:rsid w:val="00FD60F0"/>
    <w:rsid w:val="00FD6504"/>
    <w:rsid w:val="00FD66E3"/>
    <w:rsid w:val="00FE0BF1"/>
    <w:rsid w:val="00FE4382"/>
    <w:rsid w:val="00FE5CB3"/>
    <w:rsid w:val="00FE74CD"/>
    <w:rsid w:val="00FE7821"/>
    <w:rsid w:val="00FF00AF"/>
    <w:rsid w:val="00FF0E51"/>
    <w:rsid w:val="00FF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03DF59"/>
  <w15:chartTrackingRefBased/>
  <w15:docId w15:val="{EBD6B0BD-02B1-487E-8489-5574EFB2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636"/>
    <w:pPr>
      <w:spacing w:line="312" w:lineRule="auto"/>
    </w:pPr>
    <w:rPr>
      <w:rFonts w:ascii="Arial" w:hAnsi="Arial" w:eastAsia="Arial"/>
      <w:spacing w:val="2"/>
      <w:kern w:val="21"/>
      <w:sz w:val="19"/>
    </w:rPr>
  </w:style>
  <w:style w:type="paragraph" w:styleId="Heading1">
    <w:name w:val="heading 1"/>
    <w:basedOn w:val="Normal"/>
    <w:next w:val="Normal"/>
    <w:link w:val="Heading1Char"/>
    <w:uiPriority w:val="9"/>
    <w:qFormat/>
    <w:rsid w:val="000A7858"/>
    <w:pPr>
      <w:numPr>
        <w:numId w:val="38"/>
      </w:numPr>
      <w:spacing w:before="480" w:after="120" w:line="264" w:lineRule="auto"/>
      <w:outlineLvl w:val="0"/>
    </w:pPr>
    <w:rPr>
      <w:rFonts w:ascii="Arial" w:eastAsiaTheme="majorEastAsia" w:hAnsi="Arial" w:cstheme="majorBidi"/>
      <w:b/>
      <w:caps/>
      <w:color w:val="2B3A57"/>
      <w:spacing w:val="0"/>
      <w:sz w:val="48"/>
      <w:szCs w:val="72"/>
    </w:rPr>
  </w:style>
  <w:style w:type="paragraph" w:styleId="Heading2">
    <w:name w:val="heading 2"/>
    <w:basedOn w:val="Heading1"/>
    <w:next w:val="Normal"/>
    <w:link w:val="Heading2Char"/>
    <w:uiPriority w:val="9"/>
    <w:unhideWhenUsed/>
    <w:qFormat/>
    <w:rsid w:val="000A7858"/>
    <w:pPr>
      <w:numPr>
        <w:ilvl w:val="1"/>
      </w:numPr>
      <w:spacing w:before="360" w:after="80"/>
      <w:outlineLvl w:val="1"/>
    </w:pPr>
    <w:rPr>
      <w:rFonts w:cs="Arial" w:ascii="Arial" w:hAnsi="Arial"/>
      <w:b/>
      <w:caps w:val="0"/>
      <w:color w:val="057299"/>
      <w:sz w:val="26"/>
      <w:szCs w:val="22"/>
    </w:rPr>
  </w:style>
  <w:style w:type="paragraph" w:styleId="Heading3">
    <w:name w:val="heading 3"/>
    <w:basedOn w:val="Normal"/>
    <w:next w:val="Normal"/>
    <w:link w:val="Heading3Char"/>
    <w:uiPriority w:val="9"/>
    <w:unhideWhenUsed/>
    <w:qFormat/>
    <w:rsid w:val="000A7858"/>
    <w:pPr>
      <w:numPr>
        <w:ilvl w:val="2"/>
        <w:numId w:val="38"/>
      </w:numPr>
      <w:spacing w:before="240" w:after="60"/>
      <w:outlineLvl w:val="2"/>
    </w:pPr>
    <w:rPr>
      <w:rFonts w:ascii="Arial" w:eastAsiaTheme="majorEastAsia" w:hAnsi="Arial" w:cs="Arial"/>
      <w:b/>
      <w:color w:val="0685B2"/>
      <w:spacing w:val="0"/>
      <w:sz w:val="22"/>
    </w:rPr>
  </w:style>
  <w:style w:type="paragraph" w:styleId="Heading4">
    <w:name w:val="heading 4"/>
    <w:basedOn w:val="Heading3"/>
    <w:next w:val="Normal"/>
    <w:link w:val="Heading4Char"/>
    <w:uiPriority w:val="9"/>
    <w:unhideWhenUsed/>
    <w:qFormat/>
    <w:rsid w:val="000A7858"/>
    <w:pPr>
      <w:numPr>
        <w:ilvl w:val="0"/>
        <w:numId w:val="0"/>
      </w:numPr>
      <w:ind w:left="-3787" w:hanging="720"/>
      <w:outlineLvl w:val="3"/>
    </w:pPr>
    <w:rPr>
      <w:spacing w:val="-6"/>
    </w:rPr>
  </w:style>
  <w:style w:type="paragraph" w:styleId="Heading5">
    <w:name w:val="heading 5"/>
    <w:basedOn w:val="Normal"/>
    <w:next w:val="Normal"/>
    <w:link w:val="Heading5Char"/>
    <w:uiPriority w:val="9"/>
    <w:unhideWhenUsed/>
    <w:qFormat/>
    <w:rsid w:val="000A7858"/>
    <w:pPr>
      <w:keepNext/>
      <w:keepLines/>
      <w:spacing w:before="40" w:after="0"/>
      <w:outlineLvl w:val="4"/>
    </w:pPr>
    <w:rPr>
      <w:rFonts w:ascii="Arial Bold" w:eastAsiaTheme="majorEastAsia" w:hAnsi="Arial Bold" w:cstheme="majorBidi"/>
      <w:b/>
      <w:color w:val="DAAE28" w:themeColor="accent1"/>
      <w:spacing w:val="0"/>
      <w:kern w:val="0"/>
      <w:sz w:val="24"/>
    </w:rPr>
  </w:style>
  <w:style w:type="paragraph" w:styleId="Heading6">
    <w:name w:val="heading 6"/>
    <w:basedOn w:val="Normal"/>
    <w:next w:val="Normal"/>
    <w:link w:val="Heading6Char"/>
    <w:uiPriority w:val="9"/>
    <w:unhideWhenUsed/>
    <w:rsid w:val="009E5EB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A7858"/>
    <w:pPr>
      <w:keepNext/>
      <w:keepLines/>
      <w:spacing w:before="40" w:after="0"/>
      <w:outlineLvl w:val="6"/>
    </w:pPr>
    <w:rPr>
      <w:rFonts w:asciiTheme="majorHAnsi" w:eastAsiaTheme="majorEastAsia" w:hAnsiTheme="majorHAnsi" w:cstheme="majorBidi"/>
      <w:i/>
      <w:iCs/>
      <w:color w:val="6D5613" w:themeColor="accent1" w:themeShade="7F"/>
      <w:spacing w:val="0"/>
      <w:kern w:val="0"/>
      <w:sz w:val="20"/>
    </w:rPr>
  </w:style>
  <w:style w:type="paragraph" w:styleId="Heading8">
    <w:name w:val="heading 8"/>
    <w:basedOn w:val="Normal"/>
    <w:next w:val="Normal"/>
    <w:link w:val="Heading8Char"/>
    <w:uiPriority w:val="9"/>
    <w:unhideWhenUsed/>
    <w:qFormat/>
    <w:rsid w:val="000A7858"/>
    <w:pPr>
      <w:keepNext/>
      <w:keepLines/>
      <w:spacing w:before="40" w:after="0"/>
      <w:outlineLvl w:val="7"/>
    </w:pPr>
    <w:rPr>
      <w:rFonts w:asciiTheme="majorHAnsi" w:eastAsiaTheme="majorEastAsia" w:hAnsiTheme="majorHAnsi" w:cstheme="majorBidi"/>
      <w:color w:val="272727" w:themeColor="text1" w:themeTint="D8"/>
      <w:spacing w:val="0"/>
      <w:kern w:val="0"/>
      <w:szCs w:val="21"/>
    </w:rPr>
  </w:style>
  <w:style w:type="paragraph" w:styleId="Heading9">
    <w:name w:val="heading 9"/>
    <w:basedOn w:val="Normal"/>
    <w:next w:val="Normal"/>
    <w:link w:val="Heading9Char"/>
    <w:uiPriority w:val="9"/>
    <w:unhideWhenUsed/>
    <w:qFormat/>
    <w:rsid w:val="000A7858"/>
    <w:pPr>
      <w:keepNext/>
      <w:keepLines/>
      <w:spacing w:before="40" w:after="0"/>
      <w:outlineLvl w:val="8"/>
    </w:pPr>
    <w:rPr>
      <w:rFonts w:asciiTheme="majorHAnsi" w:eastAsiaTheme="majorEastAsia" w:hAnsiTheme="majorHAnsi" w:cstheme="majorBidi"/>
      <w:i/>
      <w:iCs/>
      <w:color w:val="272727" w:themeColor="text1" w:themeTint="D8"/>
      <w:spacing w:val="0"/>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858"/>
    <w:rPr>
      <w:rFonts w:ascii="Century Gothic" w:eastAsiaTheme="majorEastAsia" w:hAnsi="Century Gothic" w:cstheme="majorBidi"/>
      <w:caps/>
      <w:color w:val="2B3A57"/>
      <w:kern w:val="21"/>
      <w:sz w:val="48"/>
      <w:szCs w:val="72"/>
    </w:rPr>
  </w:style>
  <w:style w:type="character" w:customStyle="1" w:styleId="Heading2Char">
    <w:name w:val="Heading 2 Char"/>
    <w:basedOn w:val="DefaultParagraphFont"/>
    <w:link w:val="Heading2"/>
    <w:uiPriority w:val="9"/>
    <w:rsid w:val="000A7858"/>
    <w:rPr>
      <w:rFonts w:ascii="Century Gothic" w:eastAsiaTheme="majorEastAsia" w:hAnsi="Century Gothic" w:cs="Arial"/>
      <w:color w:val="057299"/>
      <w:kern w:val="21"/>
      <w:sz w:val="26"/>
    </w:rPr>
  </w:style>
  <w:style w:type="character" w:customStyle="1" w:styleId="Heading3Char">
    <w:name w:val="Heading 3 Char"/>
    <w:basedOn w:val="DefaultParagraphFont"/>
    <w:link w:val="Heading3"/>
    <w:uiPriority w:val="9"/>
    <w:rsid w:val="000A7858"/>
    <w:rPr>
      <w:rFonts w:ascii="Century Gothic" w:eastAsiaTheme="majorEastAsia" w:hAnsi="Century Gothic" w:cs="Arial"/>
      <w:color w:val="0685B2"/>
      <w:kern w:val="21"/>
    </w:rPr>
  </w:style>
  <w:style w:type="character" w:customStyle="1" w:styleId="Heading4Char">
    <w:name w:val="Heading 4 Char"/>
    <w:basedOn w:val="DefaultParagraphFont"/>
    <w:link w:val="Heading4"/>
    <w:uiPriority w:val="9"/>
    <w:rsid w:val="000A7858"/>
    <w:rPr>
      <w:rFonts w:ascii="Century Gothic" w:eastAsiaTheme="majorEastAsia" w:hAnsi="Century Gothic" w:cs="Arial"/>
      <w:color w:val="0685B2"/>
      <w:spacing w:val="-6"/>
      <w:kern w:val="21"/>
    </w:rPr>
  </w:style>
  <w:style w:type="character" w:customStyle="1" w:styleId="Heading5Char">
    <w:name w:val="Heading 5 Char"/>
    <w:basedOn w:val="DefaultParagraphFont"/>
    <w:link w:val="Heading5"/>
    <w:uiPriority w:val="9"/>
    <w:rsid w:val="000A7858"/>
    <w:rPr>
      <w:rFonts w:ascii="Arial Bold" w:eastAsiaTheme="majorEastAsia" w:hAnsi="Arial Bold"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customStyle="1" w:styleId="QuoteChar">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sz="4" w:space="10" w:color="DAAE28" w:themeColor="accent1"/>
        <w:bottom w:val="single" w:sz="4" w:space="10" w:color="DAAE28" w:themeColor="accent1"/>
      </w:pBdr>
      <w:spacing w:before="360" w:after="360"/>
      <w:ind w:left="864" w:right="864"/>
      <w:jc w:val="center"/>
    </w:pPr>
    <w:rPr>
      <w:rFonts w:ascii="Zilla Slab" w:hAnsi="Zilla Slab"/>
      <w:i/>
      <w:iCs/>
      <w:color w:val="DAAE28" w:themeColor="accent1"/>
      <w:spacing w:val="0"/>
      <w:kern w:val="0"/>
      <w:sz w:val="22"/>
    </w:rPr>
  </w:style>
  <w:style w:type="character" w:customStyle="1" w:styleId="IntenseQuoteChar">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qFormat/>
    <w:rsid w:val="000A7858"/>
    <w:pPr>
      <w:numPr>
        <w:ilvl w:val="1"/>
      </w:numPr>
      <w:jc w:val="center"/>
    </w:pPr>
    <w:rPr>
      <w:rFonts w:ascii="Zilla Slab" w:eastAsiaTheme="minorEastAsia" w:hAnsi="Zilla Slab"/>
      <w:color w:val="4F5150" w:themeColor="text2"/>
      <w:spacing w:val="15"/>
      <w:kern w:val="0"/>
      <w:sz w:val="48"/>
    </w:rPr>
  </w:style>
  <w:style w:type="character" w:customStyle="1" w:styleId="SubtitleChar">
    <w:name w:val="Subtitle Char"/>
    <w:basedOn w:val="DefaultParagraphFont"/>
    <w:link w:val="Subtitle"/>
    <w:rsid w:val="000A7858"/>
    <w:rPr>
      <w:rFonts w:ascii="Zilla Slab" w:eastAsiaTheme="minorEastAsia" w:hAnsi="Zilla Slab"/>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eastAsia="Arial" w:hAnsi="Arial Bold" w:cs="Arial"/>
      <w:color w:val="DAAE28" w:themeColor="accent1"/>
      <w:spacing w:val="0"/>
      <w:kern w:val="0"/>
      <w:sz w:val="72"/>
      <w:szCs w:val="40"/>
      <w:lang w:val="en"/>
    </w:rPr>
  </w:style>
  <w:style w:type="character" w:customStyle="1" w:styleId="TitleChar">
    <w:name w:val="Title Char"/>
    <w:basedOn w:val="DefaultParagraphFont"/>
    <w:link w:val="Title"/>
    <w:rsid w:val="000A7858"/>
    <w:rPr>
      <w:rFonts w:ascii="Arial Bold" w:eastAsia="Arial" w:hAnsi="Arial Bold"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352945"/>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06AE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customStyle="1" w:styleId="FooterChar">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uiPriority w:val="34"/>
    <w:qFormat/>
    <w:rsid w:val="000A7858"/>
    <w:pPr>
      <w:numPr>
        <w:numId w:val="31"/>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E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AAE2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AAE2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AAE2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sz="4" w:space="0" w:color="DAAE28" w:themeColor="accent1"/>
        <w:left w:val="single" w:sz="4" w:space="0" w:color="DAAE28" w:themeColor="accent1"/>
        <w:bottom w:val="single" w:sz="4" w:space="0" w:color="DAAE28" w:themeColor="accent1"/>
        <w:right w:val="single" w:sz="4" w:space="0" w:color="DAAE28" w:themeColor="accent1"/>
      </w:tblBorders>
    </w:tblPr>
    <w:tblStylePr w:type="firstRow">
      <w:rPr>
        <w:b/>
        <w:bCs/>
        <w:color w:val="FFFFFF" w:themeColor="background1"/>
      </w:rPr>
      <w:tblPr/>
      <w:tcPr>
        <w:shd w:val="clear" w:color="auto" w:fill="DAAE28" w:themeFill="accent1"/>
      </w:tcPr>
    </w:tblStylePr>
    <w:tblStylePr w:type="lastRow">
      <w:rPr>
        <w:b/>
        <w:bCs/>
      </w:rPr>
      <w:tblPr/>
      <w:tcPr>
        <w:tcBorders>
          <w:top w:val="double" w:sz="4" w:space="0" w:color="DAAE2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AAE28" w:themeColor="accent1"/>
          <w:right w:val="single" w:sz="4" w:space="0" w:color="DAAE28" w:themeColor="accent1"/>
        </w:tcBorders>
      </w:tcPr>
    </w:tblStylePr>
    <w:tblStylePr w:type="band1Horz">
      <w:tblPr/>
      <w:tcPr>
        <w:tcBorders>
          <w:top w:val="single" w:sz="4" w:space="0" w:color="DAAE28" w:themeColor="accent1"/>
          <w:bottom w:val="single" w:sz="4" w:space="0" w:color="DAAE2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AAE28" w:themeColor="accent1"/>
          <w:left w:val="nil"/>
        </w:tcBorders>
      </w:tcPr>
    </w:tblStylePr>
    <w:tblStylePr w:type="swCell">
      <w:tblPr/>
      <w:tcPr>
        <w:tcBorders>
          <w:top w:val="double" w:sz="4" w:space="0" w:color="DAAE28" w:themeColor="accent1"/>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tcBorders>
        <w:shd w:val="clear" w:color="auto" w:fill="DAAE28" w:themeFill="accent1"/>
      </w:tcPr>
    </w:tblStylePr>
    <w:tblStylePr w:type="lastRow">
      <w:rPr>
        <w:b/>
        <w:bCs/>
      </w:rPr>
      <w:tblPr/>
      <w:tcPr>
        <w:tcBorders>
          <w:top w:val="double" w:sz="4" w:space="0" w:color="E8CD7D" w:themeColor="accent1" w:themeTint="99"/>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customStyle="1" w:styleId="Compact">
    <w:name w:val="Compact"/>
    <w:basedOn w:val="Normal"/>
    <w:qFormat/>
    <w:rsid w:val="000A7858"/>
    <w:pPr>
      <w:spacing w:before="36" w:after="36" w:line="240" w:lineRule="auto"/>
    </w:pPr>
    <w:rPr>
      <w:szCs w:val="24"/>
    </w:rPr>
  </w:style>
  <w:style w:type="paragraph" w:customStyle="1" w:styleId="Author">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customStyle="1" w:styleId="DateChar">
    <w:name w:val="Date Char"/>
    <w:basedOn w:val="DefaultParagraphFont"/>
    <w:link w:val="Date"/>
    <w:rsid w:val="000A7858"/>
    <w:rPr>
      <w:sz w:val="24"/>
      <w:szCs w:val="24"/>
    </w:rPr>
  </w:style>
  <w:style w:type="paragraph" w:customStyle="1" w:styleId="Abstract">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customStyle="1" w:styleId="BlockQuote">
    <w:name w:val="Block Quote"/>
    <w:basedOn w:val="Normal"/>
    <w:next w:val="Normal"/>
    <w:uiPriority w:val="9"/>
    <w:unhideWhenUsed/>
    <w:qFormat/>
    <w:rsid w:val="000A7858"/>
    <w:pPr>
      <w:spacing w:before="100" w:after="100" w:line="240" w:lineRule="auto"/>
    </w:pPr>
    <w:rPr>
      <w:rFonts w:asciiTheme="majorHAnsi" w:eastAsiaTheme="majorEastAsia" w:hAnsiTheme="majorHAnsi" w:cstheme="majorBidi"/>
      <w:bCs/>
      <w:szCs w:val="20"/>
    </w:rPr>
  </w:style>
  <w:style w:type="paragraph" w:styleId="FootnoteText">
    <w:name w:val="footnote text"/>
    <w:basedOn w:val="Normal"/>
    <w:link w:val="FootnoteTextChar"/>
    <w:uiPriority w:val="9"/>
    <w:unhideWhenUsed/>
    <w:qFormat/>
    <w:rsid w:val="000A7858"/>
    <w:pPr>
      <w:spacing w:before="180" w:after="180" w:line="240" w:lineRule="auto"/>
    </w:pPr>
    <w:rPr>
      <w:rFonts w:ascii="Calibri Light" w:hAnsi="Calibri Light"/>
      <w:color w:val="404040" w:themeColor="text1" w:themeTint="BF"/>
      <w:sz w:val="18"/>
      <w:szCs w:val="18"/>
    </w:rPr>
  </w:style>
  <w:style w:type="character" w:customStyle="1" w:styleId="FootnoteTextChar">
    <w:name w:val="Footnote Text Char"/>
    <w:basedOn w:val="DefaultParagraphFont"/>
    <w:link w:val="FootnoteText"/>
    <w:uiPriority w:val="9"/>
    <w:rsid w:val="000A7858"/>
    <w:rPr>
      <w:rFonts w:ascii="Calibri Light" w:hAnsi="Calibri Light"/>
      <w:color w:val="404040" w:themeColor="text1" w:themeTint="BF"/>
      <w:spacing w:val="2"/>
      <w:kern w:val="21"/>
      <w:sz w:val="18"/>
      <w:szCs w:val="18"/>
    </w:rPr>
  </w:style>
  <w:style w:type="paragraph" w:customStyle="1" w:styleId="DefinitionTerm">
    <w:name w:val="Definition Term"/>
    <w:basedOn w:val="Normal"/>
    <w:next w:val="Definition"/>
    <w:rsid w:val="00C25CD5"/>
    <w:pPr>
      <w:keepNext/>
      <w:keepLines/>
      <w:spacing w:before="180" w:after="0" w:line="240" w:lineRule="auto"/>
    </w:pPr>
    <w:rPr>
      <w:b/>
      <w:szCs w:val="24"/>
    </w:rPr>
  </w:style>
  <w:style w:type="paragraph" w:customStyle="1" w:styleId="Definition">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customStyle="1" w:styleId="BodyTextChar">
    <w:name w:val="Body Text Char"/>
    <w:basedOn w:val="DefaultParagraphFont"/>
    <w:link w:val="BodyText"/>
    <w:rsid w:val="00C25CD5"/>
    <w:rPr>
      <w:sz w:val="20"/>
      <w:szCs w:val="24"/>
    </w:rPr>
  </w:style>
  <w:style w:type="paragraph" w:customStyle="1" w:styleId="TableCaption">
    <w:name w:val="Table Caption"/>
    <w:basedOn w:val="Normal"/>
    <w:rsid w:val="00C25CD5"/>
    <w:pPr>
      <w:spacing w:after="120" w:line="240" w:lineRule="auto"/>
    </w:pPr>
    <w:rPr>
      <w:i/>
      <w:szCs w:val="24"/>
    </w:rPr>
  </w:style>
  <w:style w:type="paragraph" w:customStyle="1" w:styleId="ImageCaption">
    <w:name w:val="Image Caption"/>
    <w:basedOn w:val="Normal"/>
    <w:rsid w:val="00C25CD5"/>
    <w:pPr>
      <w:spacing w:after="120" w:line="240" w:lineRule="auto"/>
    </w:pPr>
    <w:rPr>
      <w:i/>
      <w:szCs w:val="24"/>
    </w:rPr>
  </w:style>
  <w:style w:type="character" w:customStyle="1" w:styleId="VerbatimChar">
    <w:name w:val="Verbatim Char"/>
    <w:basedOn w:val="BodyTextChar"/>
    <w:link w:val="SourceCode"/>
    <w:rsid w:val="00C25CD5"/>
    <w:rPr>
      <w:rFonts w:ascii="Consolas" w:hAnsi="Consolas"/>
      <w:sz w:val="20"/>
      <w:szCs w:val="24"/>
    </w:rPr>
  </w:style>
  <w:style w:type="paragraph" w:customStyle="1" w:styleId="SourceCode">
    <w:name w:val="Source Code"/>
    <w:basedOn w:val="Normal"/>
    <w:link w:val="VerbatimChar"/>
    <w:rsid w:val="00C25CD5"/>
    <w:pPr>
      <w:wordWrap w:val="0"/>
      <w:spacing w:before="180" w:after="180" w:line="240" w:lineRule="auto"/>
    </w:pPr>
    <w:rPr>
      <w:rFonts w:ascii="Consolas" w:hAnsi="Consolas"/>
      <w:sz w:val="22"/>
      <w:szCs w:val="24"/>
    </w:rPr>
  </w:style>
  <w:style w:type="character" w:customStyle="1" w:styleId="FootnoteRef">
    <w:name w:val="Footnote Ref"/>
    <w:basedOn w:val="BodyTextChar"/>
    <w:rsid w:val="00C25CD5"/>
    <w:rPr>
      <w:sz w:val="20"/>
      <w:szCs w:val="24"/>
      <w:vertAlign w:val="superscript"/>
    </w:rPr>
  </w:style>
  <w:style w:type="character" w:customStyle="1" w:styleId="Link">
    <w:name w:val="Link"/>
    <w:basedOn w:val="BodyTextChar"/>
    <w:rsid w:val="00C25CD5"/>
    <w:rPr>
      <w:color w:val="DAAE28" w:themeColor="accent1"/>
      <w:sz w:val="20"/>
      <w:szCs w:val="24"/>
    </w:rPr>
  </w:style>
  <w:style w:type="paragraph" w:customStyle="1" w:styleId="SourceCode1">
    <w:name w:val="Source Code1"/>
    <w:basedOn w:val="Normal"/>
    <w:rsid w:val="00C25CD5"/>
    <w:pPr>
      <w:wordWrap w:val="0"/>
      <w:spacing w:before="180" w:after="180" w:line="240" w:lineRule="auto"/>
    </w:pPr>
    <w:rPr>
      <w:szCs w:val="24"/>
    </w:rPr>
  </w:style>
  <w:style w:type="character" w:customStyle="1" w:styleId="KeywordTok">
    <w:name w:val="KeywordTok"/>
    <w:basedOn w:val="VerbatimChar"/>
    <w:rsid w:val="00C25CD5"/>
    <w:rPr>
      <w:rFonts w:ascii="Consolas" w:hAnsi="Consolas"/>
      <w:b/>
      <w:color w:val="007020"/>
      <w:sz w:val="20"/>
      <w:szCs w:val="24"/>
    </w:rPr>
  </w:style>
  <w:style w:type="character" w:customStyle="1" w:styleId="DataTypeTok">
    <w:name w:val="DataTypeTok"/>
    <w:basedOn w:val="VerbatimChar"/>
    <w:rsid w:val="00C25CD5"/>
    <w:rPr>
      <w:rFonts w:ascii="Consolas" w:hAnsi="Consolas"/>
      <w:color w:val="902000"/>
      <w:sz w:val="20"/>
      <w:szCs w:val="24"/>
    </w:rPr>
  </w:style>
  <w:style w:type="character" w:customStyle="1" w:styleId="DecValTok">
    <w:name w:val="DecValTok"/>
    <w:basedOn w:val="VerbatimChar"/>
    <w:rsid w:val="00C25CD5"/>
    <w:rPr>
      <w:rFonts w:ascii="Consolas" w:hAnsi="Consolas"/>
      <w:color w:val="40A070"/>
      <w:sz w:val="20"/>
      <w:szCs w:val="24"/>
    </w:rPr>
  </w:style>
  <w:style w:type="character" w:customStyle="1" w:styleId="BaseNTok">
    <w:name w:val="BaseNTok"/>
    <w:basedOn w:val="VerbatimChar"/>
    <w:rsid w:val="00C25CD5"/>
    <w:rPr>
      <w:rFonts w:ascii="Consolas" w:hAnsi="Consolas"/>
      <w:color w:val="40A070"/>
      <w:sz w:val="20"/>
      <w:szCs w:val="24"/>
    </w:rPr>
  </w:style>
  <w:style w:type="character" w:customStyle="1" w:styleId="FloatTok">
    <w:name w:val="FloatTok"/>
    <w:basedOn w:val="VerbatimChar"/>
    <w:rsid w:val="00C25CD5"/>
    <w:rPr>
      <w:rFonts w:ascii="Consolas" w:hAnsi="Consolas"/>
      <w:color w:val="40A070"/>
      <w:sz w:val="20"/>
      <w:szCs w:val="24"/>
    </w:rPr>
  </w:style>
  <w:style w:type="character" w:customStyle="1" w:styleId="CharTok">
    <w:name w:val="CharTok"/>
    <w:basedOn w:val="VerbatimChar"/>
    <w:rsid w:val="00C25CD5"/>
    <w:rPr>
      <w:rFonts w:ascii="Consolas" w:hAnsi="Consolas"/>
      <w:color w:val="4070A0"/>
      <w:sz w:val="20"/>
      <w:szCs w:val="24"/>
    </w:rPr>
  </w:style>
  <w:style w:type="character" w:customStyle="1" w:styleId="StringTok">
    <w:name w:val="StringTok"/>
    <w:basedOn w:val="VerbatimChar"/>
    <w:rsid w:val="00C25CD5"/>
    <w:rPr>
      <w:rFonts w:ascii="Consolas" w:hAnsi="Consolas"/>
      <w:color w:val="4070A0"/>
      <w:sz w:val="20"/>
      <w:szCs w:val="24"/>
    </w:rPr>
  </w:style>
  <w:style w:type="character" w:customStyle="1" w:styleId="CommentTok">
    <w:name w:val="CommentTok"/>
    <w:basedOn w:val="VerbatimChar"/>
    <w:rsid w:val="00C25CD5"/>
    <w:rPr>
      <w:rFonts w:ascii="Consolas" w:hAnsi="Consolas"/>
      <w:i/>
      <w:color w:val="60A0B0"/>
      <w:sz w:val="20"/>
      <w:szCs w:val="24"/>
    </w:rPr>
  </w:style>
  <w:style w:type="character" w:customStyle="1" w:styleId="OtherTok">
    <w:name w:val="OtherTok"/>
    <w:basedOn w:val="VerbatimChar"/>
    <w:rsid w:val="00C25CD5"/>
    <w:rPr>
      <w:rFonts w:ascii="Consolas" w:hAnsi="Consolas"/>
      <w:color w:val="007020"/>
      <w:sz w:val="20"/>
      <w:szCs w:val="24"/>
    </w:rPr>
  </w:style>
  <w:style w:type="character" w:customStyle="1" w:styleId="AlertTok">
    <w:name w:val="AlertTok"/>
    <w:basedOn w:val="VerbatimChar"/>
    <w:rsid w:val="00C25CD5"/>
    <w:rPr>
      <w:rFonts w:ascii="Consolas" w:hAnsi="Consolas"/>
      <w:b/>
      <w:color w:val="FF0000"/>
      <w:sz w:val="20"/>
      <w:szCs w:val="24"/>
    </w:rPr>
  </w:style>
  <w:style w:type="character" w:customStyle="1" w:styleId="FunctionTok">
    <w:name w:val="FunctionTok"/>
    <w:basedOn w:val="VerbatimChar"/>
    <w:rsid w:val="00C25CD5"/>
    <w:rPr>
      <w:rFonts w:ascii="Consolas" w:hAnsi="Consolas"/>
      <w:color w:val="06287E"/>
      <w:sz w:val="20"/>
      <w:szCs w:val="24"/>
    </w:rPr>
  </w:style>
  <w:style w:type="character" w:customStyle="1" w:styleId="RegionMarkerTok">
    <w:name w:val="RegionMarkerTok"/>
    <w:basedOn w:val="VerbatimChar"/>
    <w:rsid w:val="00C25CD5"/>
    <w:rPr>
      <w:rFonts w:ascii="Consolas" w:hAnsi="Consolas"/>
      <w:sz w:val="20"/>
      <w:szCs w:val="24"/>
    </w:rPr>
  </w:style>
  <w:style w:type="character" w:customStyle="1" w:styleId="ErrorTok">
    <w:name w:val="ErrorTok"/>
    <w:basedOn w:val="VerbatimChar"/>
    <w:rsid w:val="00C25CD5"/>
    <w:rPr>
      <w:rFonts w:ascii="Consolas" w:hAnsi="Consolas"/>
      <w:b/>
      <w:color w:val="FF0000"/>
      <w:sz w:val="20"/>
      <w:szCs w:val="24"/>
    </w:rPr>
  </w:style>
  <w:style w:type="character" w:customStyle="1" w:styleId="NormalTok">
    <w:name w:val="NormalTok"/>
    <w:basedOn w:val="VerbatimChar"/>
    <w:rsid w:val="00C25CD5"/>
    <w:rPr>
      <w:rFonts w:ascii="Consolas" w:hAnsi="Consolas"/>
      <w:sz w:val="20"/>
      <w:szCs w:val="24"/>
    </w:rPr>
  </w:style>
  <w:style w:type="character" w:customStyle="1" w:styleId="KeywordTok1">
    <w:name w:val="KeywordTok1"/>
    <w:basedOn w:val="VerbatimChar"/>
    <w:rsid w:val="00C25CD5"/>
    <w:rPr>
      <w:rFonts w:ascii="Consolas" w:hAnsi="Consolas"/>
      <w:b/>
      <w:color w:val="007020"/>
      <w:sz w:val="20"/>
      <w:szCs w:val="24"/>
    </w:rPr>
  </w:style>
  <w:style w:type="character" w:customStyle="1" w:styleId="DataTypeTok1">
    <w:name w:val="DataTypeTok1"/>
    <w:basedOn w:val="VerbatimChar"/>
    <w:rsid w:val="00C25CD5"/>
    <w:rPr>
      <w:rFonts w:ascii="Consolas" w:hAnsi="Consolas"/>
      <w:color w:val="902000"/>
      <w:sz w:val="20"/>
      <w:szCs w:val="24"/>
    </w:rPr>
  </w:style>
  <w:style w:type="character" w:customStyle="1" w:styleId="DecValTok1">
    <w:name w:val="DecValTok1"/>
    <w:basedOn w:val="VerbatimChar"/>
    <w:rsid w:val="00C25CD5"/>
    <w:rPr>
      <w:rFonts w:ascii="Consolas" w:hAnsi="Consolas"/>
      <w:color w:val="40A070"/>
      <w:sz w:val="20"/>
      <w:szCs w:val="24"/>
    </w:rPr>
  </w:style>
  <w:style w:type="character" w:customStyle="1" w:styleId="BaseNTok1">
    <w:name w:val="BaseNTok1"/>
    <w:basedOn w:val="VerbatimChar"/>
    <w:rsid w:val="00C25CD5"/>
    <w:rPr>
      <w:rFonts w:ascii="Consolas" w:hAnsi="Consolas"/>
      <w:color w:val="40A070"/>
      <w:sz w:val="20"/>
      <w:szCs w:val="24"/>
    </w:rPr>
  </w:style>
  <w:style w:type="character" w:customStyle="1" w:styleId="FloatTok1">
    <w:name w:val="FloatTok1"/>
    <w:basedOn w:val="VerbatimChar"/>
    <w:rsid w:val="00C25CD5"/>
    <w:rPr>
      <w:rFonts w:ascii="Consolas" w:hAnsi="Consolas"/>
      <w:color w:val="40A070"/>
      <w:sz w:val="20"/>
      <w:szCs w:val="24"/>
    </w:rPr>
  </w:style>
  <w:style w:type="character" w:customStyle="1" w:styleId="CharTok1">
    <w:name w:val="CharTok1"/>
    <w:basedOn w:val="VerbatimChar"/>
    <w:rsid w:val="00C25CD5"/>
    <w:rPr>
      <w:rFonts w:ascii="Consolas" w:hAnsi="Consolas"/>
      <w:color w:val="4070A0"/>
      <w:sz w:val="20"/>
      <w:szCs w:val="24"/>
    </w:rPr>
  </w:style>
  <w:style w:type="character" w:customStyle="1" w:styleId="StringTok1">
    <w:name w:val="StringTok1"/>
    <w:basedOn w:val="VerbatimChar"/>
    <w:rsid w:val="00C25CD5"/>
    <w:rPr>
      <w:rFonts w:ascii="Consolas" w:hAnsi="Consolas"/>
      <w:color w:val="4070A0"/>
      <w:sz w:val="20"/>
      <w:szCs w:val="24"/>
    </w:rPr>
  </w:style>
  <w:style w:type="character" w:customStyle="1" w:styleId="CommentTok1">
    <w:name w:val="CommentTok1"/>
    <w:basedOn w:val="VerbatimChar"/>
    <w:rsid w:val="00C25CD5"/>
    <w:rPr>
      <w:rFonts w:ascii="Consolas" w:hAnsi="Consolas"/>
      <w:i/>
      <w:color w:val="60A0B0"/>
      <w:sz w:val="20"/>
      <w:szCs w:val="24"/>
    </w:rPr>
  </w:style>
  <w:style w:type="character" w:customStyle="1" w:styleId="OtherTok1">
    <w:name w:val="OtherTok1"/>
    <w:basedOn w:val="VerbatimChar"/>
    <w:rsid w:val="00C25CD5"/>
    <w:rPr>
      <w:rFonts w:ascii="Consolas" w:hAnsi="Consolas"/>
      <w:color w:val="007020"/>
      <w:sz w:val="20"/>
      <w:szCs w:val="24"/>
    </w:rPr>
  </w:style>
  <w:style w:type="character" w:customStyle="1" w:styleId="AlertTok1">
    <w:name w:val="AlertTok1"/>
    <w:basedOn w:val="VerbatimChar"/>
    <w:rsid w:val="00C25CD5"/>
    <w:rPr>
      <w:rFonts w:ascii="Consolas" w:hAnsi="Consolas"/>
      <w:b/>
      <w:color w:val="FF0000"/>
      <w:sz w:val="20"/>
      <w:szCs w:val="24"/>
    </w:rPr>
  </w:style>
  <w:style w:type="character" w:customStyle="1" w:styleId="FunctionTok1">
    <w:name w:val="FunctionTok1"/>
    <w:basedOn w:val="VerbatimChar"/>
    <w:rsid w:val="00C25CD5"/>
    <w:rPr>
      <w:rFonts w:ascii="Consolas" w:hAnsi="Consolas"/>
      <w:color w:val="06287E"/>
      <w:sz w:val="20"/>
      <w:szCs w:val="24"/>
    </w:rPr>
  </w:style>
  <w:style w:type="character" w:customStyle="1" w:styleId="RegionMarkerTok1">
    <w:name w:val="RegionMarkerTok1"/>
    <w:basedOn w:val="VerbatimChar"/>
    <w:rsid w:val="00C25CD5"/>
    <w:rPr>
      <w:rFonts w:ascii="Consolas" w:hAnsi="Consolas"/>
      <w:sz w:val="20"/>
      <w:szCs w:val="24"/>
    </w:rPr>
  </w:style>
  <w:style w:type="character" w:customStyle="1" w:styleId="ErrorTok1">
    <w:name w:val="ErrorTok1"/>
    <w:basedOn w:val="VerbatimChar"/>
    <w:rsid w:val="00C25CD5"/>
    <w:rPr>
      <w:rFonts w:ascii="Consolas" w:hAnsi="Consolas"/>
      <w:b/>
      <w:color w:val="FF0000"/>
      <w:sz w:val="20"/>
      <w:szCs w:val="24"/>
    </w:rPr>
  </w:style>
  <w:style w:type="character" w:customStyle="1" w:styleId="NormalTok1">
    <w:name w:val="NormalTok1"/>
    <w:basedOn w:val="VerbatimChar"/>
    <w:rsid w:val="00C25CD5"/>
    <w:rPr>
      <w:rFonts w:ascii="Consolas" w:hAnsi="Consolas"/>
      <w:sz w:val="20"/>
      <w:szCs w:val="24"/>
    </w:rPr>
  </w:style>
  <w:style w:type="character" w:styleId="CommentReference">
    <w:name w:val="annotation reference"/>
    <w:basedOn w:val="DefaultParagraphFont"/>
    <w:semiHidden/>
    <w:unhideWhenUsed/>
    <w:rsid w:val="00C25CD5"/>
    <w:rPr>
      <w:sz w:val="16"/>
      <w:szCs w:val="16"/>
    </w:rPr>
  </w:style>
  <w:style w:type="paragraph" w:styleId="CommentText">
    <w:name w:val="annotation text"/>
    <w:basedOn w:val="Normal"/>
    <w:link w:val="CommentTextChar"/>
    <w:semiHidden/>
    <w:unhideWhenUsed/>
    <w:rsid w:val="00C25CD5"/>
    <w:pPr>
      <w:spacing w:before="180" w:after="180" w:line="240" w:lineRule="auto"/>
    </w:pPr>
    <w:rPr>
      <w:szCs w:val="20"/>
    </w:rPr>
  </w:style>
  <w:style w:type="character" w:customStyle="1" w:styleId="CommentTextChar">
    <w:name w:val="Comment Text Char"/>
    <w:basedOn w:val="DefaultParagraphFont"/>
    <w:link w:val="CommentText"/>
    <w:semiHidden/>
    <w:rsid w:val="00C25CD5"/>
    <w:rPr>
      <w:sz w:val="20"/>
      <w:szCs w:val="20"/>
    </w:rPr>
  </w:style>
  <w:style w:type="paragraph" w:styleId="CommentSubject">
    <w:name w:val="annotation subject"/>
    <w:basedOn w:val="CommentText"/>
    <w:next w:val="CommentText"/>
    <w:link w:val="CommentSubjectChar"/>
    <w:semiHidden/>
    <w:unhideWhenUsed/>
    <w:rsid w:val="00C25CD5"/>
    <w:rPr>
      <w:b/>
      <w:bCs/>
    </w:rPr>
  </w:style>
  <w:style w:type="character" w:customStyle="1" w:styleId="CommentSubjectChar">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semiHidden/>
    <w:unhideWhenUsed/>
    <w:rsid w:val="00C25CD5"/>
    <w:rPr>
      <w:vertAlign w:val="superscript"/>
    </w:rPr>
  </w:style>
  <w:style w:type="paragraph" w:customStyle="1" w:styleId="Default">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customStyle="1" w:styleId="apple-tab-span">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customStyle="1" w:styleId="Heading6Char">
    <w:name w:val="Heading 6 Char"/>
    <w:basedOn w:val="DefaultParagraphFont"/>
    <w:link w:val="Heading6"/>
    <w:uiPriority w:val="9"/>
    <w:rsid w:val="009E5EB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A7858"/>
    <w:rPr>
      <w:rFonts w:asciiTheme="majorHAnsi" w:eastAsiaTheme="majorEastAsia" w:hAnsiTheme="majorHAnsi" w:cstheme="majorBidi"/>
      <w:i/>
      <w:iCs/>
      <w:color w:val="6D5613" w:themeColor="accent1" w:themeShade="7F"/>
      <w:sz w:val="20"/>
    </w:rPr>
  </w:style>
  <w:style w:type="character" w:customStyle="1" w:styleId="Heading8Char">
    <w:name w:val="Heading 8 Char"/>
    <w:basedOn w:val="DefaultParagraphFont"/>
    <w:link w:val="Heading8"/>
    <w:uiPriority w:val="9"/>
    <w:rsid w:val="000A78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7858"/>
    <w:rPr>
      <w:rFonts w:asciiTheme="majorHAnsi" w:eastAsiaTheme="majorEastAsia" w:hAnsiTheme="majorHAnsi" w:cstheme="majorBidi"/>
      <w:i/>
      <w:iCs/>
      <w:color w:val="272727" w:themeColor="text1" w:themeTint="D8"/>
      <w:sz w:val="21"/>
      <w:szCs w:val="21"/>
    </w:rPr>
  </w:style>
  <w:style w:type="paragraph" w:customStyle="1" w:styleId="Intra-sectionheader">
    <w:name w:val="Intra-section header"/>
    <w:basedOn w:val="Normal"/>
    <w:link w:val="Intra-sectionheaderChar"/>
    <w:qFormat/>
    <w:rsid w:val="006B672C"/>
    <w:pPr>
      <w:spacing w:before="120" w:after="0"/>
    </w:pPr>
    <w:rPr>
      <w:rFonts w:ascii="Century Gothic" w:hAnsi="Century Gothic"/>
      <w:color w:val="067198" w:themeColor="accent5"/>
      <w:spacing w:val="0"/>
      <w:kern w:val="0"/>
      <w:sz w:val="24"/>
    </w:rPr>
  </w:style>
  <w:style w:type="character" w:customStyle="1" w:styleId="Intra-sectionheaderChar">
    <w:name w:val="Intra-section header Char"/>
    <w:basedOn w:val="DefaultParagraphFont"/>
    <w:link w:val="Intra-sectionheader"/>
    <w:rsid w:val="006B672C"/>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customStyle="1" w:styleId="Tableinstructions">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customStyle="1" w:styleId="TableinstructionsChar">
    <w:name w:val="Table instructions Char"/>
    <w:basedOn w:val="DefaultParagraphFont"/>
    <w:link w:val="Tableinstructions"/>
    <w:uiPriority w:val="6"/>
    <w:rsid w:val="00A40B7F"/>
    <w:rPr>
      <w:rFonts w:ascii="Arial" w:eastAsia="MS Mincho" w:hAnsi="Arial"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insideV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insideV w:val="nil"/>
        </w:tcBorders>
        <w:shd w:val="clear" w:color="auto" w:fill="DAAE28" w:themeFill="accent1"/>
      </w:tcPr>
    </w:tblStylePr>
    <w:tblStylePr w:type="lastRow">
      <w:rPr>
        <w:b/>
        <w:bCs/>
      </w:rPr>
      <w:tblPr/>
      <w:tcPr>
        <w:tcBorders>
          <w:top w:val="double" w:sz="4" w:space="0" w:color="DAAE28" w:themeColor="accent1"/>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foreObject">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customStyle="1" w:styleId="Instruction">
    <w:name w:val="Instruction"/>
    <w:basedOn w:val="NoSpacing"/>
    <w:uiPriority w:val="3"/>
    <w:qFormat/>
    <w:rsid w:val="005E3815"/>
    <w:pPr>
      <w:autoSpaceDE w:val="0"/>
      <w:autoSpaceDN w:val="0"/>
      <w:adjustRightInd w:val="0"/>
      <w:spacing w:before="160" w:line="312" w:lineRule="auto"/>
      <w:ind w:left="720"/>
    </w:pPr>
    <w:rPr>
      <w:rFonts w:eastAsia="MS Mincho" w:cs="Times New Roman"/>
      <w:i/>
      <w:iCs/>
      <w:color w:val="4F5150"/>
      <w:szCs w:val="24"/>
      <w:lang w:val="en-GB"/>
    </w:rPr>
  </w:style>
  <w:style w:type="paragraph" w:customStyle="1" w:styleId="Bullets">
    <w:name w:val="Bullets"/>
    <w:basedOn w:val="BeforeObject"/>
    <w:autoRedefine/>
    <w:uiPriority w:val="5"/>
    <w:rsid w:val="00340A18"/>
    <w:pPr>
      <w:numPr>
        <w:numId w:val="3"/>
      </w:numPr>
      <w:spacing w:before="120" w:after="0"/>
    </w:pPr>
    <w:rPr>
      <w:color w:val="4F5150" w:themeColor="text2"/>
      <w14:textFill>
        <w14:solidFill>
          <w14:schemeClr w14:val="tx2">
            <w14:lumMod w14:val="95000"/>
            <w14:lumOff w14:val="5000"/>
            <w14:lumMod w14:val="95000"/>
            <w14:lumOff w14:val="5000"/>
          </w14:schemeClr>
        </w14:solidFill>
      </w14:textFill>
    </w:rPr>
  </w:style>
  <w:style w:type="paragraph" w:customStyle="1" w:styleId="Tableheader">
    <w:name w:val="Table header"/>
    <w:basedOn w:val="Normal"/>
    <w:link w:val="TableheaderChar"/>
    <w:uiPriority w:val="7"/>
    <w:rsid w:val="00675EF9"/>
    <w:pPr>
      <w:spacing w:after="120" w:line="288" w:lineRule="auto"/>
    </w:pPr>
    <w:rPr>
      <w:sz w:val="22"/>
    </w:rPr>
  </w:style>
  <w:style w:type="character" w:customStyle="1" w:styleId="TableheaderChar">
    <w:name w:val="Table header Char"/>
    <w:basedOn w:val="DefaultParagraphFont"/>
    <w:link w:val="Tableheader"/>
    <w:uiPriority w:val="7"/>
    <w:rsid w:val="00675EF9"/>
    <w:rPr>
      <w:rFonts w:ascii="Arial" w:hAnsi="Arial"/>
    </w:rPr>
  </w:style>
  <w:style w:type="paragraph" w:customStyle="1" w:styleId="Heading31">
    <w:name w:val="Heading 31"/>
    <w:basedOn w:val="Heading3"/>
    <w:link w:val="heading3Char0"/>
    <w:rsid w:val="00A226CA"/>
    <w:pPr>
      <w:numPr>
        <w:numId w:val="2"/>
      </w:numPr>
      <w:spacing w:before="0" w:after="240" w:line="288" w:lineRule="auto"/>
    </w:pPr>
    <w:rPr>
      <w:rFonts w:ascii="Arial Bold" w:eastAsia="Times New Roman" w:hAnsi="Arial Bold"/>
      <w:bCs/>
      <w:color w:val="005B82"/>
      <w:szCs w:val="20"/>
      <w:lang w:val="en-CA"/>
    </w:rPr>
  </w:style>
  <w:style w:type="character" w:customStyle="1" w:styleId="heading3Char0">
    <w:name w:val="heading 3 Char"/>
    <w:link w:val="Heading31"/>
    <w:rsid w:val="00A226CA"/>
    <w:rPr>
      <w:rFonts w:ascii="Arial Bold" w:eastAsia="Times New Roman" w:hAnsi="Arial Bold" w:cs="Arial"/>
      <w:b/>
      <w:bCs/>
      <w:color w:val="005B82"/>
      <w:sz w:val="20"/>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F25B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paragraph" w:customStyle="1" w:styleId="Header2">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customStyle="1" w:styleId="Header2Char">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customStyle="1" w:styleId="TOC">
    <w:name w:val="TOC"/>
    <w:basedOn w:val="Heading1"/>
    <w:link w:val="TOCChar"/>
    <w:qFormat/>
    <w:rsid w:val="000A7858"/>
    <w:pPr>
      <w:numPr>
        <w:numId w:val="0"/>
      </w:numPr>
      <w:pBdr>
        <w:bottom w:val="single" w:sz="4" w:space="1" w:color="2B3A57"/>
      </w:pBdr>
      <w:spacing w:after="360"/>
      <w:ind w:left="720" w:hanging="720"/>
    </w:pPr>
  </w:style>
  <w:style w:type="character" w:customStyle="1" w:styleId="TOCChar">
    <w:name w:val="TOC Char"/>
    <w:basedOn w:val="Heading1Char"/>
    <w:link w:val="TOC"/>
    <w:rsid w:val="000A7858"/>
    <w:rPr>
      <w:rFonts w:ascii="Century Gothic" w:eastAsiaTheme="majorEastAsia" w:hAnsi="Century Gothic" w:cstheme="majorBidi"/>
      <w:caps/>
      <w:color w:val="2B3A57"/>
      <w:kern w:val="21"/>
      <w:sz w:val="48"/>
      <w:szCs w:val="72"/>
    </w:rPr>
  </w:style>
  <w:style w:type="paragraph" w:customStyle="1" w:styleId="SDVFootnote">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customStyle="1" w:styleId="SDVFootnoteChar">
    <w:name w:val="SDV Footnote Char"/>
    <w:basedOn w:val="DefaultParagraphFont"/>
    <w:link w:val="SDVFootnote"/>
    <w:rsid w:val="000A7858"/>
    <w:rPr>
      <w:rFonts w:ascii="Calibri Light" w:hAnsi="Calibri Light"/>
      <w:color w:val="4F5150"/>
      <w:kern w:val="21"/>
      <w:sz w:val="18"/>
      <w:szCs w:val="18"/>
    </w:rPr>
  </w:style>
  <w:style w:type="paragraph" w:customStyle="1" w:styleId="Heading3a">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customStyle="1" w:styleId="Heading3aChar">
    <w:name w:val="Heading 3a Char"/>
    <w:basedOn w:val="Heading3Char"/>
    <w:link w:val="Heading3a"/>
    <w:rsid w:val="000A7858"/>
    <w:rPr>
      <w:rFonts w:ascii="Franklin Gothic Book" w:eastAsiaTheme="majorEastAsia" w:hAnsi="Franklin Gothic Book" w:cs="Arial"/>
      <w:color w:val="0685B2"/>
      <w:kern w:val="21"/>
      <w:sz w:val="21"/>
    </w:rPr>
  </w:style>
  <w:style w:type="paragraph" w:customStyle="1" w:styleId="BoxHeader">
    <w:name w:val="Box Header"/>
    <w:basedOn w:val="Caption"/>
    <w:qFormat/>
    <w:rsid w:val="000A7858"/>
    <w:rPr>
      <w:color w:val="404040" w:themeColor="text1" w:themeTint="BF"/>
    </w:rPr>
  </w:style>
  <w:style w:type="paragraph" w:customStyle="1" w:styleId="Heading3b">
    <w:name w:val="Heading 3b"/>
    <w:basedOn w:val="Heading3"/>
    <w:qFormat/>
    <w:rsid w:val="000A7858"/>
    <w:pPr>
      <w:numPr>
        <w:ilvl w:val="0"/>
        <w:numId w:val="32"/>
      </w:numPr>
    </w:pPr>
    <w:rPr>
      <w:b/>
      <w:sz w:val="26"/>
    </w:rPr>
  </w:style>
  <w:style w:type="paragraph" w:customStyle="1" w:styleId="Note">
    <w:name w:val="Note"/>
    <w:basedOn w:val="Normal"/>
    <w:link w:val="NoteChar"/>
    <w:qFormat/>
    <w:rsid w:val="000A7858"/>
    <w:pPr>
      <w:spacing w:before="180" w:after="240" w:line="264" w:lineRule="auto"/>
    </w:pPr>
    <w:rPr>
      <w:i/>
      <w:color w:val="4F5150" w:themeColor="text2"/>
    </w:rPr>
  </w:style>
  <w:style w:type="paragraph" w:customStyle="1" w:styleId="TableHeader0">
    <w:name w:val="Table Header"/>
    <w:basedOn w:val="Normal"/>
    <w:link w:val="TableHeaderChar0"/>
    <w:qFormat/>
    <w:rsid w:val="00BA3B0B"/>
    <w:pPr>
      <w:spacing w:before="120" w:after="120" w:line="240" w:lineRule="auto"/>
    </w:pPr>
    <w:rPr>
      <w:b/>
      <w:bCs/>
      <w:color w:val="FFFFFF" w:themeColor="background1"/>
      <w:spacing w:val="4"/>
    </w:rPr>
  </w:style>
  <w:style w:type="character" w:customStyle="1" w:styleId="TableHeaderChar0">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customStyle="1" w:styleId="TableText">
    <w:name w:val="Table Text"/>
    <w:basedOn w:val="Normal"/>
    <w:link w:val="TableTextChar"/>
    <w:qFormat/>
    <w:rsid w:val="00C46B18"/>
    <w:pPr>
      <w:spacing w:before="160" w:line="276" w:lineRule="auto"/>
    </w:pPr>
    <w:rPr>
      <w:rFonts w:cs="Arial"/>
      <w:color w:val="404040" w:themeColor="text1" w:themeTint="BF"/>
      <w:sz w:val="19"/>
      <w:szCs w:val="19"/>
    </w:rPr>
  </w:style>
  <w:style w:type="character" w:customStyle="1" w:styleId="TableTextChar">
    <w:name w:val="Table Text Char"/>
    <w:basedOn w:val="DefaultParagraphFont"/>
    <w:link w:val="TableText"/>
    <w:rsid w:val="00C46B18"/>
    <w:rPr>
      <w:rFonts w:ascii="Franklin Gothic Book" w:hAnsi="Franklin Gothic Book" w:cs="Arial"/>
      <w:color w:val="404040" w:themeColor="text1" w:themeTint="BF"/>
      <w:spacing w:val="2"/>
      <w:kern w:val="21"/>
      <w:sz w:val="19"/>
      <w:szCs w:val="19"/>
    </w:rPr>
  </w:style>
  <w:style w:type="paragraph" w:customStyle="1" w:styleId="Header1">
    <w:name w:val="Header 1"/>
    <w:basedOn w:val="Header"/>
    <w:link w:val="Header1Char"/>
    <w:rsid w:val="000A7858"/>
    <w:pPr>
      <w:pBdr>
        <w:bottom w:val="single" w:sz="4" w:space="1" w:color="A6A6A6" w:themeColor="background1" w:themeShade="A6"/>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customStyle="1" w:styleId="Header1Char">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customStyle="1" w:styleId="Notes">
    <w:name w:val="Notes"/>
    <w:basedOn w:val="Heading3a"/>
    <w:link w:val="NotesChar"/>
    <w:rsid w:val="000A7858"/>
    <w:pPr>
      <w:spacing w:before="180" w:after="300" w:line="240" w:lineRule="auto"/>
      <w:ind w:left="0" w:firstLine="0"/>
    </w:pPr>
    <w:rPr>
      <w:i/>
      <w:color w:val="4F5150"/>
      <w:spacing w:val="-4"/>
    </w:rPr>
  </w:style>
  <w:style w:type="character" w:customStyle="1" w:styleId="NotesChar">
    <w:name w:val="Notes Char"/>
    <w:basedOn w:val="Heading3aChar"/>
    <w:link w:val="Notes"/>
    <w:rsid w:val="000A7858"/>
    <w:rPr>
      <w:rFonts w:ascii="Franklin Gothic Book" w:eastAsiaTheme="majorEastAsia" w:hAnsi="Franklin Gothic Book" w:cs="Arial"/>
      <w:i/>
      <w:color w:val="4F5150"/>
      <w:spacing w:val="-4"/>
      <w:kern w:val="21"/>
      <w:sz w:val="21"/>
    </w:rPr>
  </w:style>
  <w:style w:type="table" w:customStyle="1" w:styleId="GridTable5Dark-Accent21">
    <w:name w:val="Grid Table 5 Dark - Accent 21"/>
    <w:basedOn w:val="TableNormal"/>
    <w:next w:val="GridTable5Dark-Accent2"/>
    <w:uiPriority w:val="50"/>
    <w:rsid w:val="00911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numbering" w:customStyle="1" w:styleId="Style1">
    <w:name w:val="Style1"/>
    <w:uiPriority w:val="99"/>
    <w:rsid w:val="006E37DA"/>
    <w:pPr>
      <w:numPr>
        <w:numId w:val="34"/>
      </w:numPr>
    </w:pPr>
  </w:style>
  <w:style w:type="paragraph" w:customStyle="1" w:styleId="TemplateTitle">
    <w:name w:val="Template Title"/>
    <w:basedOn w:val="Heading1"/>
    <w:link w:val="TemplateTitleChar"/>
    <w:qFormat/>
    <w:rsid w:val="00146584"/>
    <w:pPr>
      <w:numPr>
        <w:numId w:val="0"/>
      </w:numPr>
      <w:jc w:val="center"/>
    </w:pPr>
  </w:style>
  <w:style w:type="character" w:customStyle="1" w:styleId="TemplateTitleChar">
    <w:name w:val="Template Title Char"/>
    <w:basedOn w:val="Heading1Char"/>
    <w:link w:val="TemplateTitle"/>
    <w:rsid w:val="00146584"/>
    <w:rPr>
      <w:rFonts w:ascii="Century Gothic" w:eastAsiaTheme="majorEastAsia" w:hAnsi="Century Gothic" w:cstheme="majorBidi"/>
      <w:caps/>
      <w:color w:val="2B3A57"/>
      <w:kern w:val="21"/>
      <w:sz w:val="48"/>
      <w:szCs w:val="72"/>
    </w:rPr>
  </w:style>
  <w:style w:type="paragraph" w:customStyle="1" w:styleId="TemplateNote">
    <w:name w:val="Template Note"/>
    <w:basedOn w:val="Note"/>
    <w:link w:val="TemplateNoteChar"/>
    <w:qFormat/>
    <w:rsid w:val="005F692F"/>
    <w:pPr>
      <w:spacing w:after="300" w:line="240" w:lineRule="auto"/>
      <w:ind w:left="720"/>
    </w:pPr>
    <w:rPr>
      <w:i w:val="0"/>
      <w:color w:val="6C6E6D"/>
      <w:szCs w:val="21"/>
    </w:rPr>
  </w:style>
  <w:style w:type="character" w:customStyle="1" w:styleId="NoteChar">
    <w:name w:val="Note Char"/>
    <w:basedOn w:val="DefaultParagraphFont"/>
    <w:link w:val="Note"/>
    <w:rsid w:val="005F692F"/>
    <w:rPr>
      <w:rFonts w:ascii="Franklin Gothic Book" w:hAnsi="Franklin Gothic Book"/>
      <w:i/>
      <w:color w:val="4F5150" w:themeColor="text2"/>
      <w:spacing w:val="2"/>
      <w:kern w:val="21"/>
      <w:sz w:val="21"/>
    </w:rPr>
  </w:style>
  <w:style w:type="character" w:customStyle="1" w:styleId="TemplateNoteChar">
    <w:name w:val="Template Note Char"/>
    <w:basedOn w:val="NoteChar"/>
    <w:link w:val="TemplateNote"/>
    <w:rsid w:val="005F692F"/>
    <w:rPr>
      <w:rFonts w:ascii="Franklin Gothic Book" w:hAnsi="Franklin Gothic Book"/>
      <w:i w:val="0"/>
      <w:color w:val="6C6E6D"/>
      <w:spacing w:val="2"/>
      <w:kern w:val="2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nstats.un.org/sdgs/meta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8"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www.ilo.org/dyn/normlex/en/f?p=NORMLEXPUB:12100:::NO:12100:P12100_ILO_CODE:C182:NO" TargetMode="External"/><Relationship Id="rId3" Type="http://schemas.openxmlformats.org/officeDocument/2006/relationships/hyperlink" Target="http://www.ilo.org/dyn/normlex/en/f?p=NORMLEXPUB:12100:::NO:12100:P12100_ILO_CODE:C098:NO" TargetMode="External"/><Relationship Id="rId7" Type="http://schemas.openxmlformats.org/officeDocument/2006/relationships/hyperlink" Target="http://www.ilo.org/dyn/normlex/en/f?p=NORMLEXPUB:12100:::NO:12100:P12100_ILO_CODE:C138:NO" TargetMode="External"/><Relationship Id="rId2" Type="http://schemas.openxmlformats.org/officeDocument/2006/relationships/hyperlink" Target="http://www.ilo.org/dyn/normlex/en/f?p=NORMLEXPUB:12100:::NO:12100:P12100_ILO_CODE:C087:NO" TargetMode="External"/><Relationship Id="rId1" Type="http://schemas.openxmlformats.org/officeDocument/2006/relationships/hyperlink" Target="http://www.ilo.org/dyn/normlex/en/f?p=NORMLEXPUB:12100:0::NO::P12100_ILO_CODE:C029" TargetMode="External"/><Relationship Id="rId6" Type="http://schemas.openxmlformats.org/officeDocument/2006/relationships/hyperlink" Target="http://www.ilo.org/dyn/normlex/en/f?p=NORMLEXPUB:12100:::NO:12100:P12100_ILO_CODE:C111:NO" TargetMode="External"/><Relationship Id="rId5" Type="http://schemas.openxmlformats.org/officeDocument/2006/relationships/hyperlink" Target="http://www.ilo.org/dyn/normlex/en/f?p=NORMLEXPUB:12100:::NO:12100:P12100_ILO_CODE:C105:NO" TargetMode="External"/><Relationship Id="rId4" Type="http://schemas.openxmlformats.org/officeDocument/2006/relationships/hyperlink" Target="http://www.ilo.org/dyn/normlex/en/f?p=NORMLEXPUB:12100:::NO:12100:P12100_ILO_CODE:C098:NOhttp://www.ilo.org/dyn/normlex/en/f?p=NORMLEXPUB:12100:::NO:12100:P12100_ILO_CODE:C100:N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C4613-D972-45F3-AB79-54E02D9AB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26</Pages>
  <Words>5650</Words>
  <Characters>32209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0</vt:lpstr>
    </vt:vector>
  </TitlesOfParts>
  <Company/>
  <LinksUpToDate>false</LinksUpToDate>
  <CharactersWithSpaces>37784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subject/>
  <dc:creator>Verra</dc:creator>
  <cp:keywords/>
  <dc:description/>
  <cp:lastModifiedBy>Julianne Baroody</cp:lastModifiedBy>
  <cp:revision>38</cp:revision>
  <cp:lastPrinted>2018-06-01T03:39:00Z</cp:lastPrinted>
  <dcterms:created xsi:type="dcterms:W3CDTF">2019-01-17T17:41:00Z</dcterms:created>
  <dcterms:modified xsi:type="dcterms:W3CDTF">2019-02-22T17:06:00Z</dcterms:modified>
</cp:coreProperties>
</file>