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color w:val="1F4E79"/>
          <w:sz w:val="40"/>
        </w:rPr>
        <w:t>Project Design Document</w:t>
      </w:r>
    </w:p>
    <w:p>
      <w:pPr>
        <w:jc w:val="center"/>
      </w:pPr>
      <w:r>
        <w:rPr>
          <w:sz w:val="28"/>
        </w:rPr>
        <w:t>VCS Project Description - Template v4.4 draft</w:t>
      </w:r>
    </w:p>
    <w:p>
      <w:pPr>
        <w:jc w:val="center"/>
      </w:pPr>
      <w:r>
        <w:rPr>
          <w:b/>
          <w:sz w:val="30"/>
        </w:rPr>
        <w:t>Soc Son-like Waste-to-Power Demonstration Project</w:t>
      </w:r>
    </w:p>
    <w:p>
      <w:pPr>
        <w:jc w:val="center"/>
      </w:pPr>
      <w:r>
        <w:t>Run ID: run-20260530072805-be2a7f</w:t>
        <w:br/>
      </w:r>
      <w:r>
        <w:t>Generated: 2026-05-30 14:28</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Soc Son-like Waste-to-Power Demonstration Project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30-May-2026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w:t>
            </w:r>
          </w:p>
        </w:tc>
      </w:tr>
    </w:tbl>
    <w:p/>
    <w:p>
      <w:pPr>
        <w:pStyle w:val="Heading1"/>
      </w:pPr>
      <w:r>
        <w:t>1 PROJECT DETAILS</w:t>
      </w:r>
    </w:p>
    <w:p>
      <w:pPr>
        <w:pStyle w:val="Heading2"/>
      </w:pPr>
      <w:r>
        <w:t>Summary Description of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demo_curated=9</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VCS_Inegol_Project-Description.norm, Summary Description of the Project]; [CORPUS: VCS_Inegol_Project-Description.norm, Summary Description of the Project]; [CORPUS: VCS_Soc_Son_Project-Description.norm, Summary Description of the Project]</w:t>
      </w:r>
    </w:p>
    <w:p>
      <w:pPr>
        <w:pStyle w:val="Quote"/>
      </w:pPr>
      <w:r>
        <w:rPr>
          <w:b/>
        </w:rPr>
        <w:t xml:space="preserve">Assumption note: </w:t>
      </w:r>
      <w:r>
        <w:t>9 synthetic/demo-backed input(s) affect this section. See Assumption Appendix for field-level details.</w:t>
      </w:r>
    </w:p>
    <w:p>
      <w:r>
        <w:t>This synthetic client-demo case illustrates a municipal solid waste facility that diverts waste from landfill disposal, recovers energy through treatment with power export, and demonstrates a Verra-style drafting workflow using deterministic demo inputs.</w:t>
      </w:r>
    </w:p>
    <w:p>
      <w:pPr>
        <w:pStyle w:val="Heading2"/>
      </w:pPr>
      <w:r>
        <w:t>Sectoral Scope and Project Type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Sectoral Scope and Project Type]; [CORPUS: VCS_Bergama_Project-Description.norm, Sectoral Scope and Project Type]; [CORPUS: VCS_Inegol_Project-Description.norm, Sectoral Scope and Project Type]; [CORPUS: VCS_Inegol_Project-Description.norm, Sectoral Scope and Project Type]; [CORPUS: VCS_Soc_Son_Project-Description.norm, Sectoral Scope and Project Type]</w:t>
      </w:r>
    </w:p>
    <w:p>
      <w:pPr>
        <w:pStyle w:val="Quote"/>
      </w:pPr>
      <w:r>
        <w:rPr>
          <w:b/>
        </w:rPr>
        <w:t xml:space="preserve">Assumption note: </w:t>
      </w:r>
      <w:r>
        <w:t>1 synthetic/demo-backed input(s) affect this section. See Assumption Appendix for field-level details.</w:t>
      </w:r>
    </w:p>
    <w:p>
      <w:r>
        <w:t>Section 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Project Eligibility]; [CORPUS: VCS_Bergama_Project-Description.norm, Project Eligibility]; [CORPUS: VCS_Inegol_Project-Description.norm, Project Eligibility]; [CORPUS: VCS_Inegol_Project-Description.norm, Project Eligibility]; [CORPUS: VCS_Soc_Son_Project-Description.norm, Project Eligibility]</w:t>
      </w:r>
    </w:p>
    <w:p>
      <w:pPr>
        <w:pStyle w:val="Quote"/>
      </w:pPr>
      <w:r>
        <w:rPr>
          <w:b/>
        </w:rPr>
        <w:t xml:space="preserve">Assumption note: </w:t>
      </w:r>
      <w:r>
        <w:t>6 synthetic/demo-backed input(s) affect this section. See Assumption Appendix for field-level details.</w:t>
      </w:r>
    </w:p>
    <w:p>
      <w:r>
        <w:t>Section 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Project Design]; [CORPUS: VCS_Bergama_Project-Description.norm, Project Design]; [CORPUS: VCS_Inegol_Project-Description.norm, Project Design]; [CORPUS: VCS_Inegol_Project-Description.norm, Project Design]; [CORPUS: VCS_Soc_Son_Project-Description.norm, Project Design]</w:t>
      </w:r>
    </w:p>
    <w:p>
      <w:pPr>
        <w:pStyle w:val="Quote"/>
      </w:pPr>
      <w:r>
        <w:rPr>
          <w:b/>
        </w:rPr>
        <w:t xml:space="preserve">Assumption note: </w:t>
      </w:r>
      <w:r>
        <w:t>5 synthetic/demo-backed input(s) affect this section. See Assumption Appendix for field-level details.</w:t>
      </w:r>
    </w:p>
    <w:p>
      <w:r>
        <w:t>Section 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Proponent]; [CORPUS: VCS_Bergama_Project-Description.norm, Project Proponent]; [CORPUS: VCS_Inegol_Project-Description.norm, Project Proponent]; [CORPUS: VCS_Inegol_Project-Description.norm, Project Proponent]; [CORPUS: VCS_Soc_Son_Project-Description.norm, Project Proponent]</w:t>
      </w:r>
    </w:p>
    <w:p>
      <w:pPr>
        <w:pStyle w:val="Quote"/>
      </w:pPr>
      <w:r>
        <w:rPr>
          <w:b/>
        </w:rPr>
        <w:t xml:space="preserve">Assumption note: </w:t>
      </w:r>
      <w:r>
        <w:t>2 synthetic/demo-backed input(s) affect this section. See Assumption Appendix for field-level details.</w:t>
      </w:r>
    </w:p>
    <w:p>
      <w:r>
        <w:t>Section 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VCS_Inegol_Project-Description.norm, Other Entities Involved in the Project]; [CORPUS: VCS_Inegol_Project-Description.norm, Other Entities Involved in the Project]; [CORPUS: VCS_Soc_Son_Project-Description.norm, Other Entities Involved in the Project]</w:t>
      </w:r>
    </w:p>
    <w:p>
      <w:pPr>
        <w:pStyle w:val="Quote"/>
      </w:pPr>
      <w:r>
        <w:rPr>
          <w:b/>
        </w:rPr>
        <w:t xml:space="preserve">Assumption note: </w:t>
      </w:r>
      <w:r>
        <w:t>1 synthetic/demo-backed input(s) affect this section. See Assumption Appendix for field-level details.</w:t>
      </w:r>
    </w:p>
    <w:p>
      <w:r>
        <w:t>Section 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Ownership]; [CORPUS: VCS_Bergama_Project-Description.norm, Ownership]; [CORPUS: VCS_Inegol_Project-Description.norm, Ownership]; [CORPUS: VCS_Inegol_Project-Description.norm, Ownership]; [CORPUS: VCS_Soc_Son_Project-Description.norm, Ownership]</w:t>
      </w:r>
    </w:p>
    <w:p>
      <w:pPr>
        <w:pStyle w:val="Quote"/>
      </w:pPr>
      <w:r>
        <w:rPr>
          <w:b/>
        </w:rPr>
        <w:t xml:space="preserve">Assumption note: </w:t>
      </w:r>
      <w:r>
        <w:t>2 synthetic/demo-backed input(s) affect this section. See Assumption Appendix for field-level details.</w:t>
      </w:r>
    </w:p>
    <w:p>
      <w:r>
        <w:t>Section 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Project Start Date]; [CORPUS: VCS_Bergama_Project-Description.norm, Project Start Date]; [CORPUS: VCS_Inegol_Project-Description.norm, Project Start Date]; [CORPUS: VCS_Inegol_Project-Description.norm, Project Start Date]; [CORPUS: VCS_Soc_Son_Project-Description.norm, Project Start Date]</w:t>
      </w:r>
    </w:p>
    <w:p>
      <w:pPr>
        <w:pStyle w:val="Quote"/>
      </w:pPr>
      <w:r>
        <w:rPr>
          <w:b/>
        </w:rPr>
        <w:t xml:space="preserve">Assumption note: </w:t>
      </w:r>
      <w:r>
        <w:t>1 synthetic/demo-backed input(s) affect this section. See Assumption Appendix for field-level details.</w:t>
      </w:r>
    </w:p>
    <w:p>
      <w:r>
        <w:t>Section 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Crediting Period]; [CORPUS: VCS_Bergama_Project-Description.norm, Project Crediting Period]; [CORPUS: VCS_Inegol_Project-Description.norm, Project Crediting Period]; [CORPUS: VCS_Inegol_Project-Description.norm, Project Crediting Period]; [CORPUS: VCS_Soc_Son_Project-Description.norm, Project Crediting Period]</w:t>
      </w:r>
    </w:p>
    <w:p>
      <w:pPr>
        <w:pStyle w:val="Quote"/>
      </w:pPr>
      <w:r>
        <w:rPr>
          <w:b/>
        </w:rPr>
        <w:t xml:space="preserve">Assumption note: </w:t>
      </w:r>
      <w:r>
        <w:t>2 synthetic/demo-backed input(s) affect this section. See Assumption Appendix for field-level details.</w:t>
      </w:r>
    </w:p>
    <w:p>
      <w:r>
        <w:t>Section 1.9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demo_curated=13</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VCS_Inegol_Project-Description.norm, Project Scale and Estimated GHG Emission Reductions or Removals]; [CORPUS: VCS_Inegol_Project-Description.norm, Project Scale and Estimated GHG Emission Reductions or Removals]; [CORPUS: VCS_Soc_Son_Project-Description.norm, Project Scale and Estimated GHG Emission Reductions or Removals]</w:t>
      </w:r>
    </w:p>
    <w:p>
      <w:pPr>
        <w:pStyle w:val="Quote"/>
      </w:pPr>
      <w:r>
        <w:rPr>
          <w:b/>
        </w:rPr>
        <w:t xml:space="preserve">Assumption note: </w:t>
      </w:r>
      <w:r>
        <w:t>13 synthetic/demo-backed input(s) affect this section. See Assumption Appendix for field-level details.</w:t>
      </w:r>
    </w:p>
    <w:p>
      <w:r>
        <w:t>The synthetic demo project is modeled with installed capacity, annual waste throughput, and electricity generation parameters drawn from the curated demo assumptions register. The draft carries estimated net emission reductions across the defined crediting period.</w:t>
      </w:r>
    </w:p>
    <w:p>
      <w:pPr>
        <w:pStyle w:val="Heading2"/>
      </w:pPr>
      <w:r>
        <w:t>Description of the Project Activity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VCS_Inegol_Project-Description.norm, Description of the Project Activity]; [CORPUS: VCS_Inegol_Project-Description.norm, Description of the Project Activity]; [CORPUS: VCS_Soc_Son_Project-Description.norm, Description of the Project Activity]</w:t>
      </w:r>
    </w:p>
    <w:p>
      <w:pPr>
        <w:pStyle w:val="Quote"/>
      </w:pPr>
      <w:r>
        <w:rPr>
          <w:b/>
        </w:rPr>
        <w:t xml:space="preserve">Assumption note: </w:t>
      </w:r>
      <w:r>
        <w:t>19 synthetic/demo-backed input(s) affect this section. See Assumption Appendix for field-level details.</w:t>
      </w:r>
    </w:p>
    <w:p>
      <w:r>
        <w:t>Section 1.11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demo_curated=7</w:t>
            </w:r>
          </w:p>
        </w:tc>
      </w:tr>
    </w:tbl>
    <w:p>
      <w:pPr>
        <w:pStyle w:val="Quote"/>
      </w:pPr>
      <w:r>
        <w:rPr>
          <w:b/>
        </w:rPr>
        <w:t xml:space="preserve">Retrieved provenance: </w:t>
      </w:r>
      <w:r>
        <w:t>[CORPUS: VCS_Bergama_Project-Description.norm, Project Location]; [CORPUS: VCS_Bergama_Project-Description.norm, Project Location]; [CORPUS: VCS_Inegol_Project-Description.norm, Project Location]; [CORPUS: VCS_Inegol_Project-Description.norm, Project Location]; [CORPUS: VCS_Soc_Son_Project-Description.norm, Project Location]</w:t>
      </w:r>
    </w:p>
    <w:p>
      <w:pPr>
        <w:pStyle w:val="Quote"/>
      </w:pPr>
      <w:r>
        <w:rPr>
          <w:b/>
        </w:rPr>
        <w:t xml:space="preserve">Assumption note: </w:t>
      </w:r>
      <w:r>
        <w:t>7 synthetic/demo-backed input(s) affect this section. See Assumption Appendix for field-level details.</w:t>
      </w:r>
    </w:p>
    <w:p>
      <w:r>
        <w:t>Section 1.12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VCS_Inegol_Project-Description.norm, Conditions Prior to Project Initiation]; [CORPUS: VCS_Inegol_Project-Description.norm, Conditions Prior to Project Initiation]; [CORPUS: VCS_Soc_Son_Project-Description.norm, Conditions Prior to Project Initiation]</w:t>
      </w:r>
    </w:p>
    <w:p>
      <w:pPr>
        <w:pStyle w:val="Quote"/>
      </w:pPr>
      <w:r>
        <w:rPr>
          <w:b/>
        </w:rPr>
        <w:t xml:space="preserve">Assumption note: </w:t>
      </w:r>
      <w:r>
        <w:t>20 synthetic/demo-backed input(s) affect this section. See Assumption Appendix for field-level details.</w:t>
      </w:r>
    </w:p>
    <w:p>
      <w:r>
        <w:t>Section 1.13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demo_curated=3</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VCS_Inegol_Project-Description.norm, Compliance with Laws, Statutes and Other Regulatory Frameworks]; [CORPUS: VCS_Inegol_Project-Description.norm, Compliance with Laws, Statutes and Other Regulatory Frameworks]; [CORPUS: VCS_Soc_Son_Project-Description.norm, Compliance with Laws, Statutes and Other Regulatory Frameworks]</w:t>
      </w:r>
    </w:p>
    <w:p>
      <w:pPr>
        <w:pStyle w:val="Quote"/>
      </w:pPr>
      <w:r>
        <w:rPr>
          <w:b/>
        </w:rPr>
        <w:t xml:space="preserve">Assumption note: </w:t>
      </w:r>
      <w:r>
        <w:t>3 synthetic/demo-backed input(s) affect this section. See Assumption Appendix for field-level details.</w:t>
      </w:r>
    </w:p>
    <w:p>
      <w:r>
        <w:t>Section 1.14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VCS_Inegol_Project-Description.norm, Participation under Other GHG Programs]; [CORPUS: VCS_Inegol_Project-Description.norm, Participation under Other GHG Programs]; [CORPUS: VCS_Soc_Son_Project-Description.norm, Participation under Other GHG Programs]</w:t>
      </w:r>
    </w:p>
    <w:p>
      <w:pPr>
        <w:pStyle w:val="Quote"/>
      </w:pPr>
      <w:r>
        <w:rPr>
          <w:b/>
        </w:rPr>
        <w:t xml:space="preserve">Assumption note: </w:t>
      </w:r>
      <w:r>
        <w:t>2 synthetic/demo-backed input(s) affect this section. See Assumption Appendix for field-level details.</w:t>
      </w:r>
    </w:p>
    <w:p>
      <w:r>
        <w:t>Section 1.15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Forms of Credit]; [CORPUS: VCS_Bergama_Project-Description.norm, Other Forms of Credit]; [CORPUS: VCS_Inegol_Project-Description.norm, Other Forms of Credit]; [CORPUS: VCS_Inegol_Project-Description.norm, Other Forms of Credit]; [CORPUS: VCS_Soc_Son_Project-Description.norm, Other Forms of Credit]</w:t>
      </w:r>
    </w:p>
    <w:p>
      <w:pPr>
        <w:pStyle w:val="Quote"/>
      </w:pPr>
      <w:r>
        <w:rPr>
          <w:b/>
        </w:rPr>
        <w:t xml:space="preserve">Assumption note: </w:t>
      </w:r>
      <w:r>
        <w:t>1 synthetic/demo-backed input(s) affect this section. See Assumption Appendix for field-level details.</w:t>
      </w:r>
    </w:p>
    <w:p>
      <w:r>
        <w:t>Section 1.16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VCS_Inegol_Project-Description.norm, Sustainable Development Contributions]</w:t>
      </w:r>
    </w:p>
    <w:p>
      <w:r>
        <w:t>Section 1.17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demo_curated=18</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VCS_Inegol_Project-Description.norm, Additional Information Relevant to the Project]; [CORPUS: VCS_Inegol_Project-Description.norm, Additional Information Relevant to the Project]; [CORPUS: VCS_Soc_Son_Project-Description.norm, Additional Information Relevant to the Project]</w:t>
      </w:r>
    </w:p>
    <w:p>
      <w:pPr>
        <w:pStyle w:val="Quote"/>
      </w:pPr>
      <w:r>
        <w:rPr>
          <w:b/>
        </w:rPr>
        <w:t xml:space="preserve">Assumption note: </w:t>
      </w:r>
      <w:r>
        <w:t>18 synthetic/demo-backed input(s) affect this section. See Assumption Appendix for field-level details.</w:t>
      </w:r>
    </w:p>
    <w:p>
      <w:r>
        <w:t>Section 1.18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No Net Harm]; [CORPUS: VCS_Bergama_Project-Description.norm, No Net Harm]; [CORPUS: VCS_Inegol_Project-Description.norm, No Net Harm]; [CORPUS: VCS_Inegol_Project-Description.norm, No Net Harm]; [CORPUS: VCS_Soc_Son_Project-Description.norm, No Net Harm]</w:t>
      </w:r>
    </w:p>
    <w:p>
      <w:pPr>
        <w:pStyle w:val="Quote"/>
      </w:pPr>
      <w:r>
        <w:rPr>
          <w:b/>
        </w:rPr>
        <w:t xml:space="preserve">Assumption note: </w:t>
      </w:r>
      <w:r>
        <w:t>1 synthetic/demo-backed input(s) affect this section. See Assumption Appendix for field-level details.</w:t>
      </w:r>
    </w:p>
    <w:p>
      <w:r>
        <w:t>Section 2.1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Local Stakeholder Consultation]; [CORPUS: VCS_Bergama_Project-Description.norm, Local Stakeholder Consultation]; [CORPUS: VCS_Inegol_Project-Description.norm, Local Stakeholder Consultation]; [CORPUS: VCS_Inegol_Project-Description.norm, Local Stakeholder Consultation]; [CORPUS: VCS_Soc_Son_Project-Description.norm, Local Stakeholder Consultation]</w:t>
      </w:r>
    </w:p>
    <w:p>
      <w:pPr>
        <w:pStyle w:val="Quote"/>
      </w:pPr>
      <w:r>
        <w:rPr>
          <w:b/>
        </w:rPr>
        <w:t xml:space="preserve">Assumption note: </w:t>
      </w:r>
      <w:r>
        <w:t>2 synthetic/demo-backed input(s) affect this section. See Assumption Appendix for field-level details.</w:t>
      </w:r>
    </w:p>
    <w:p>
      <w:r>
        <w:t>Section 2.2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Environmental Impact]; [CORPUS: VCS_Bergama_Project-Description.norm, Environmental Impact]; [CORPUS: VCS_Inegol_Project-Description.norm, Environmental Impact]; [CORPUS: VCS_Inegol_Project-Description.norm, Environmental Impact]; [CORPUS: VCS_Inegol_Project-Description.norm, Environmental Impact]</w:t>
      </w:r>
    </w:p>
    <w:p>
      <w:pPr>
        <w:pStyle w:val="Quote"/>
      </w:pPr>
      <w:r>
        <w:rPr>
          <w:b/>
        </w:rPr>
        <w:t xml:space="preserve">Assumption note: </w:t>
      </w:r>
      <w:r>
        <w:t>2 synthetic/demo-backed input(s) affect this section. See Assumption Appendix for field-level details.</w:t>
      </w:r>
    </w:p>
    <w:p>
      <w:r>
        <w:t>Section 2.3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Public Comments]; [CORPUS: VCS_Bergama_Project-Description.norm, Public Comments]; [CORPUS: VCS_Inegol_Project-Description.norm, Public Comments]; [CORPUS: VCS_Inegol_Project-Description.norm, Public Comments]; [CORPUS: VCS_Soc_Son_Project-Description.norm, Public Comments]</w:t>
      </w:r>
    </w:p>
    <w:p>
      <w:pPr>
        <w:pStyle w:val="Quote"/>
      </w:pPr>
      <w:r>
        <w:rPr>
          <w:b/>
        </w:rPr>
        <w:t xml:space="preserve">Assumption note: </w:t>
      </w:r>
      <w:r>
        <w:t>1 synthetic/demo-backed input(s) affect this section. See Assumption Appendix for field-level details.</w:t>
      </w:r>
    </w:p>
    <w:p>
      <w:r>
        <w:t>Section 2.4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AFOLU-Specific Safeguards]; [CORPUS: VCS_Inegol_Project-Description.norm, AFOLU-Specific Safeguards]; [CORPUS: VCS_Soc_Son_Project-Description.norm, AFOLU-Specific Safeguards]</w:t>
      </w:r>
    </w:p>
    <w:p>
      <w:pPr>
        <w:pStyle w:val="Quote"/>
      </w:pPr>
      <w:r>
        <w:rPr>
          <w:b/>
        </w:rPr>
        <w:t xml:space="preserve">Assumption note: </w:t>
      </w:r>
      <w:r>
        <w:t>5 synthetic/demo-backed input(s) affect this section. See Assumption Appendix for field-level details.</w:t>
      </w:r>
    </w:p>
    <w:p>
      <w:r>
        <w:t>Section 2.5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VCS_Inegol_Project-Description.norm, Title and Reference of Methodology]; [CORPUS: VCS_Inegol_Project-Description.norm, Title and Reference of Methodology]; [CORPUS: VCS_Soc_Son_Project-Description.norm, Title and Reference of Methodology]</w:t>
      </w:r>
    </w:p>
    <w:p>
      <w:pPr>
        <w:pStyle w:val="Quote"/>
      </w:pPr>
      <w:r>
        <w:rPr>
          <w:b/>
        </w:rPr>
        <w:t xml:space="preserve">Assumption note: </w:t>
      </w:r>
      <w:r>
        <w:t>1 synthetic/demo-backed input(s) affect this section. See Assumption Appendix for field-level details.</w:t>
      </w:r>
    </w:p>
    <w:p>
      <w:r>
        <w:t>Section 3.1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Applicability of Methodology]; [CORPUS: VCS_Bergama_Project-Description.norm, Applicability of Methodology]; [CORPUS: VCS_Inegol_Project-Description.norm, Applicability of Methodology]; [CORPUS: VCS_Inegol_Project-Description.norm, Applicability of Methodology]; [CORPUS: VCS_Soc_Son_Project-Description.norm, Applicability of Methodology]</w:t>
      </w:r>
    </w:p>
    <w:p>
      <w:pPr>
        <w:pStyle w:val="Quote"/>
      </w:pPr>
      <w:r>
        <w:rPr>
          <w:b/>
        </w:rPr>
        <w:t xml:space="preserve">Assumption note: </w:t>
      </w:r>
      <w:r>
        <w:t>6 synthetic/demo-backed input(s) affect this section. See Assumption Appendix for field-level details.</w:t>
      </w:r>
    </w:p>
    <w:p>
      <w:r>
        <w:t>Section 3.2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demo_curated=12</w:t>
            </w:r>
          </w:p>
        </w:tc>
      </w:tr>
    </w:tbl>
    <w:p>
      <w:pPr>
        <w:pStyle w:val="Quote"/>
      </w:pPr>
      <w:r>
        <w:rPr>
          <w:b/>
        </w:rPr>
        <w:t xml:space="preserve">Retrieved provenance: </w:t>
      </w:r>
      <w:r>
        <w:t>[CORPUS: VCS_Bergama_Project-Description.norm, Project Boundary]; [CORPUS: VCS_Bergama_Project-Description.norm, Project Boundary]; [CORPUS: VCS_Inegol_Project-Description.norm, Project Boundary]; [CORPUS: VCS_Inegol_Project-Description.norm, Project Boundary]; [CORPUS: VCS_Soc_Son_Project-Description.norm, Project Boundary]</w:t>
      </w:r>
    </w:p>
    <w:p>
      <w:pPr>
        <w:pStyle w:val="Quote"/>
      </w:pPr>
      <w:r>
        <w:rPr>
          <w:b/>
        </w:rPr>
        <w:t xml:space="preserve">Assumption note: </w:t>
      </w:r>
      <w:r>
        <w:t>12 synthetic/demo-backed input(s) affect this section. See Assumption Appendix for field-level details.</w:t>
      </w:r>
    </w:p>
    <w:p>
      <w:r>
        <w:t>The project boundary includes the project site and associated waste treatment facilities. Included emission sources cover waste handling, energy generation, and biogas combustion. Excluded emission sources are limited to off-site transport beyond the project gate. The geographic boundary is defined by GPS coordinates of the facility perimeter. The temporal boundary covers the crediting period from start date to end date. The project type is a single project (not a Programme of Activities).</w:t>
      </w:r>
    </w:p>
    <w:p>
      <w:pPr>
        <w:pStyle w:val="Heading2"/>
      </w:pPr>
      <w:r>
        <w:t>Baseline Scenario</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Baseline Scenario]; [CORPUS: VCS_Bergama_Project-Description.norm, Baseline Scenario]; [CORPUS: VCS_Inegol_Project-Description.norm, Baseline Scenario]; [CORPUS: VCS_Inegol_Project-Description.norm, Baseline Scenario]; [CORPUS: VCS_Soc_Son_Project-Description.norm, Baseline Scenario]</w:t>
      </w:r>
    </w:p>
    <w:p>
      <w:pPr>
        <w:pStyle w:val="Quote"/>
      </w:pPr>
      <w:r>
        <w:rPr>
          <w:b/>
        </w:rPr>
        <w:t xml:space="preserve">Assumption note: </w:t>
      </w:r>
      <w:r>
        <w:t>20 synthetic/demo-backed input(s) affect this section. See Assumption Appendix for field-level details.</w:t>
      </w:r>
    </w:p>
    <w:p>
      <w:r>
        <w:t>In this synthetic demo baseline, the municipal waste stream would otherwise continue to be disposed of at landfill sites.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Additionality]; [CORPUS: VCS_Bergama_Project-Description.norm, Additionality]; [CORPUS: VCS_Inegol_Project-Description.norm, Additionality]; [CORPUS: VCS_Inegol_Project-Description.norm, Additionality]; [CORPUS: VCS_Soc_Son_Project-Description.norm, Additionality]</w:t>
      </w:r>
    </w:p>
    <w:p>
      <w:pPr>
        <w:pStyle w:val="Quote"/>
      </w:pPr>
      <w:r>
        <w:rPr>
          <w:b/>
        </w:rPr>
        <w:t xml:space="preserve">Assumption note: </w:t>
      </w:r>
      <w:r>
        <w:t>19 synthetic/demo-backed input(s) affect this section. See Assumption Appendix for field-level details.</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VCS_Inegol_Project-Description.norm, Methodology Deviations]; [CORPUS: VCS_Inegol_Project-Description.norm, Methodology Deviations]; [CORPUS: VCS_Soc_Son_Project-Description.norm, Methodology Deviations]</w:t>
      </w:r>
    </w:p>
    <w:p>
      <w:r>
        <w:t>Section 3.6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demo_curated=10</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VCS_Inegol_Project-Description.norm, Baseline Emissions]</w:t>
      </w:r>
    </w:p>
    <w:p>
      <w:pPr>
        <w:pStyle w:val="Quote"/>
      </w:pPr>
      <w:r>
        <w:rPr>
          <w:b/>
        </w:rPr>
        <w:t xml:space="preserve">Assumption note: </w:t>
      </w:r>
      <w:r>
        <w:t>10 synthetic/demo-backed input(s) affect this section. See Assumption Appendix for field-level details.</w:t>
      </w:r>
    </w:p>
    <w:p>
      <w:r>
        <w:t>Baseline emissions in the synthetic demo are set based on the curated assumptions register. This value is carried consistently across the assumptions companion and the quantification narrative so the client-demo artifact remains internally aligned.</w:t>
      </w:r>
    </w:p>
    <w:p>
      <w:pPr>
        <w:pStyle w:val="Heading2"/>
      </w:pPr>
      <w:r>
        <w:t>Project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VCS_Inegol_Project-Description.norm, Project Emissions]</w:t>
      </w:r>
    </w:p>
    <w:p>
      <w:pPr>
        <w:pStyle w:val="Quote"/>
      </w:pPr>
      <w:r>
        <w:rPr>
          <w:b/>
        </w:rPr>
        <w:t xml:space="preserve">Assumption note: </w:t>
      </w:r>
      <w:r>
        <w:t>2 synthetic/demo-backed input(s) affect this section. See Assumption Appendix for field-level details.</w:t>
      </w:r>
    </w:p>
    <w:p>
      <w:r>
        <w:t>Project emissions in the synthetic demo are set based on the curated assumptions register, representing the modeled emissions associated with facility operation and energy recovery. The value is deterministic and used consistently throughout the sample.</w:t>
      </w:r>
    </w:p>
    <w:p>
      <w:pPr>
        <w:pStyle w:val="Heading2"/>
      </w:pPr>
      <w:r>
        <w:t>Leakage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VCS_Inegol_Project-Description.norm, Leakage]</w:t>
      </w:r>
    </w:p>
    <w:p>
      <w:pPr>
        <w:pStyle w:val="Quote"/>
      </w:pPr>
      <w:r>
        <w:rPr>
          <w:b/>
        </w:rPr>
        <w:t xml:space="preserve">Assumption note: </w:t>
      </w:r>
      <w:r>
        <w:t>8 synthetic/demo-backed input(s) affect this section. See Assumption Appendix for field-level details.</w:t>
      </w:r>
    </w:p>
    <w:p>
      <w:r>
        <w:t>Section 4.3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VCS_Inegol_Project-Description.norm, Net GHG Emission Reductions and Removals]</w:t>
      </w:r>
    </w:p>
    <w:p>
      <w:pPr>
        <w:pStyle w:val="Quote"/>
      </w:pPr>
      <w:r>
        <w:rPr>
          <w:b/>
        </w:rPr>
        <w:t xml:space="preserve">Assumption note: </w:t>
      </w:r>
      <w:r>
        <w:t>8 synthetic/demo-backed input(s) affect this section. See Assumption Appendix for field-level details.</w:t>
      </w:r>
    </w:p>
    <w:p>
      <w:r>
        <w:t>Net greenhouse gas emission reductions in the synthetic demo are calculated after accounting for baseline emissions, project emissions, and leakage. Across the crediting period, the synthetic sample totals are derived deterministically from annual values.</w:t>
      </w:r>
    </w:p>
    <w:p>
      <w:pPr>
        <w:pStyle w:val="Heading1"/>
      </w:pPr>
      <w:r>
        <w:t>5 MONITORING</w:t>
      </w:r>
    </w:p>
    <w:p>
      <w:pPr>
        <w:pStyle w:val="Heading2"/>
      </w:pPr>
      <w:r>
        <w:t>Data and Parameters Available at Validation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VCS_Inegol_Project-Description.norm, Data and Parameters Available at Validation]; [CORPUS: VCS_Inegol_Project-Description.norm, Data and Parameters Available at Validation]; [CORPUS: VCS_Soc_Son_Project-Description.norm, Data and Parameters Available at Validation]</w:t>
      </w:r>
    </w:p>
    <w:p>
      <w:pPr>
        <w:pStyle w:val="Quote"/>
      </w:pPr>
      <w:r>
        <w:rPr>
          <w:b/>
        </w:rPr>
        <w:t xml:space="preserve">Assumption note: </w:t>
      </w:r>
      <w:r>
        <w:t>8 synthetic/demo-backed input(s) affect this section. See Assumption Appendix for field-level details.</w:t>
      </w:r>
    </w:p>
    <w:p>
      <w:r>
        <w:t>Section 5.1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demo_curated=14</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VCS_Inegol_Project-Description.norm, Data and Parameters Monitored]</w:t>
      </w:r>
    </w:p>
    <w:p>
      <w:pPr>
        <w:pStyle w:val="Quote"/>
      </w:pPr>
      <w:r>
        <w:rPr>
          <w:b/>
        </w:rPr>
        <w:t xml:space="preserve">Assumption note: </w:t>
      </w:r>
      <w:r>
        <w:t>14 synthetic/demo-backed input(s) affect this section. See Assumption Appendix for field-level details.</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VCS_Inegol_Project-Description.norm, Monitoring Plan]; [CORPUS: VCS_Soc_Son_Project-Description.norm, Monitoring Plan]</w:t>
      </w:r>
    </w:p>
    <w:p>
      <w:pPr>
        <w:pStyle w:val="Quote"/>
      </w:pPr>
      <w:r>
        <w:rPr>
          <w:b/>
        </w:rPr>
        <w:t xml:space="preserve">Assumption note: </w:t>
      </w:r>
      <w:r>
        <w:t>2 synthetic/demo-backed input(s) affect this section. See Assumption Appendix for field-level details.</w:t>
      </w:r>
    </w:p>
    <w:p>
      <w:r>
        <w:t>Section 5.3 for the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Field</w:t>
            </w:r>
          </w:p>
        </w:tc>
        <w:tc>
          <w:tcPr>
            <w:tcW w:type="dxa" w:w="2550"/>
          </w:tcPr>
          <w:p>
            <w:r>
              <w:rPr>
                <w:b/>
              </w:rPr>
              <w:t>Source Type</w:t>
            </w:r>
          </w:p>
        </w:tc>
        <w:tc>
          <w:tcPr>
            <w:tcW w:type="dxa" w:w="2550"/>
          </w:tcPr>
          <w:p>
            <w:r>
              <w:rPr>
                <w:b/>
              </w:rPr>
              <w:t>Confidence</w:t>
            </w:r>
          </w:p>
        </w:tc>
        <w:tc>
          <w:tcPr>
            <w:tcW w:type="dxa" w:w="2550"/>
          </w:tcPr>
          <w:p>
            <w:r>
              <w:rPr>
                <w:b/>
              </w:rPr>
              <w:t>Value</w:t>
            </w:r>
          </w:p>
        </w:tc>
      </w:tr>
      <w:tr>
        <w:tc>
          <w:tcPr>
            <w:tcW w:type="dxa" w:w="2550"/>
          </w:tcPr>
          <w:p>
            <w:r>
              <w:t>project.project_name</w:t>
            </w:r>
          </w:p>
        </w:tc>
        <w:tc>
          <w:tcPr>
            <w:tcW w:type="dxa" w:w="2550"/>
          </w:tcPr>
          <w:p>
            <w:r>
              <w:t>demo_curated</w:t>
            </w:r>
          </w:p>
        </w:tc>
        <w:tc>
          <w:tcPr>
            <w:tcW w:type="dxa" w:w="2550"/>
          </w:tcPr>
          <w:p>
            <w:r>
              <w:t>high</w:t>
            </w:r>
          </w:p>
        </w:tc>
        <w:tc>
          <w:tcPr>
            <w:tcW w:type="dxa" w:w="2550"/>
          </w:tcPr>
          <w:p>
            <w:r>
              <w:t>Soc Son-like Waste-to-Power Demonstration Project</w:t>
            </w:r>
          </w:p>
        </w:tc>
      </w:tr>
      <w:tr>
        <w:tc>
          <w:tcPr>
            <w:tcW w:type="dxa" w:w="2550"/>
          </w:tcPr>
          <w:p>
            <w:r>
              <w:t>project.project_id_vcs</w:t>
            </w:r>
          </w:p>
        </w:tc>
        <w:tc>
          <w:tcPr>
            <w:tcW w:type="dxa" w:w="2550"/>
          </w:tcPr>
          <w:p>
            <w:r>
              <w:t>demo_curated</w:t>
            </w:r>
          </w:p>
        </w:tc>
        <w:tc>
          <w:tcPr>
            <w:tcW w:type="dxa" w:w="2550"/>
          </w:tcPr>
          <w:p>
            <w:r>
              <w:t>medium</w:t>
            </w:r>
          </w:p>
        </w:tc>
        <w:tc>
          <w:tcPr>
            <w:tcW w:type="dxa" w:w="2550"/>
          </w:tcPr>
          <w:p>
            <w:r>
              <w:t>None</w:t>
            </w:r>
          </w:p>
        </w:tc>
      </w:tr>
      <w:tr>
        <w:tc>
          <w:tcPr>
            <w:tcW w:type="dxa" w:w="2550"/>
          </w:tcPr>
          <w:p>
            <w:r>
              <w:t>project.proponent_name</w:t>
            </w:r>
          </w:p>
        </w:tc>
        <w:tc>
          <w:tcPr>
            <w:tcW w:type="dxa" w:w="2550"/>
          </w:tcPr>
          <w:p>
            <w:r>
              <w:t>demo_curated</w:t>
            </w:r>
          </w:p>
        </w:tc>
        <w:tc>
          <w:tcPr>
            <w:tcW w:type="dxa" w:w="2550"/>
          </w:tcPr>
          <w:p>
            <w:r>
              <w:t>high</w:t>
            </w:r>
          </w:p>
        </w:tc>
        <w:tc>
          <w:tcPr>
            <w:tcW w:type="dxa" w:w="2550"/>
          </w:tcPr>
          <w:p>
            <w:r>
              <w:t>Soc Son Demo Project Company</w:t>
            </w:r>
          </w:p>
        </w:tc>
      </w:tr>
      <w:tr>
        <w:tc>
          <w:tcPr>
            <w:tcW w:type="dxa" w:w="2550"/>
          </w:tcPr>
          <w:p>
            <w:r>
              <w:t>project.proponent_contact_email</w:t>
            </w:r>
          </w:p>
        </w:tc>
        <w:tc>
          <w:tcPr>
            <w:tcW w:type="dxa" w:w="2550"/>
          </w:tcPr>
          <w:p>
            <w:r>
              <w:t>demo_curated</w:t>
            </w:r>
          </w:p>
        </w:tc>
        <w:tc>
          <w:tcPr>
            <w:tcW w:type="dxa" w:w="2550"/>
          </w:tcPr>
          <w:p>
            <w:r>
              <w:t>high</w:t>
            </w:r>
          </w:p>
        </w:tc>
        <w:tc>
          <w:tcPr>
            <w:tcW w:type="dxa" w:w="2550"/>
          </w:tcPr>
          <w:p>
            <w:r>
              <w:t>climate-demo@example.com</w:t>
            </w:r>
          </w:p>
        </w:tc>
      </w:tr>
      <w:tr>
        <w:tc>
          <w:tcPr>
            <w:tcW w:type="dxa" w:w="2550"/>
          </w:tcPr>
          <w:p>
            <w:r>
              <w:t>project.other_entities</w:t>
            </w:r>
          </w:p>
        </w:tc>
        <w:tc>
          <w:tcPr>
            <w:tcW w:type="dxa" w:w="2550"/>
          </w:tcPr>
          <w:p>
            <w:r>
              <w:t>demo_curated</w:t>
            </w:r>
          </w:p>
        </w:tc>
        <w:tc>
          <w:tcPr>
            <w:tcW w:type="dxa" w:w="2550"/>
          </w:tcPr>
          <w:p>
            <w:r>
              <w:t>high</w:t>
            </w:r>
          </w:p>
        </w:tc>
        <w:tc>
          <w:tcPr>
            <w:tcW w:type="dxa" w:w="2550"/>
          </w:tcPr>
          <w:p>
            <w:r>
              <w:t>['Municipal waste collection authority']</w:t>
            </w:r>
          </w:p>
        </w:tc>
      </w:tr>
      <w:tr>
        <w:tc>
          <w:tcPr>
            <w:tcW w:type="dxa" w:w="2550"/>
          </w:tcPr>
          <w:p>
            <w:r>
              <w:t>project.ownership</w:t>
            </w:r>
          </w:p>
        </w:tc>
        <w:tc>
          <w:tcPr>
            <w:tcW w:type="dxa" w:w="2550"/>
          </w:tcPr>
          <w:p>
            <w:r>
              <w:t>demo_curated</w:t>
            </w:r>
          </w:p>
        </w:tc>
        <w:tc>
          <w:tcPr>
            <w:tcW w:type="dxa" w:w="2550"/>
          </w:tcPr>
          <w:p>
            <w:r>
              <w:t>high</w:t>
            </w:r>
          </w:p>
        </w:tc>
        <w:tc>
          <w:tcPr>
            <w:tcW w:type="dxa" w:w="2550"/>
          </w:tcPr>
          <w:p>
            <w:r>
              <w:t>The project proponent owns and operates the WTE facility and the resulting ca...</w:t>
            </w:r>
          </w:p>
        </w:tc>
      </w:tr>
      <w:tr>
        <w:tc>
          <w:tcPr>
            <w:tcW w:type="dxa" w:w="2550"/>
          </w:tcPr>
          <w:p>
            <w:r>
              <w:t>location.country</w:t>
            </w:r>
          </w:p>
        </w:tc>
        <w:tc>
          <w:tcPr>
            <w:tcW w:type="dxa" w:w="2550"/>
          </w:tcPr>
          <w:p>
            <w:r>
              <w:t>demo_curated</w:t>
            </w:r>
          </w:p>
        </w:tc>
        <w:tc>
          <w:tcPr>
            <w:tcW w:type="dxa" w:w="2550"/>
          </w:tcPr>
          <w:p>
            <w:r>
              <w:t>high</w:t>
            </w:r>
          </w:p>
        </w:tc>
        <w:tc>
          <w:tcPr>
            <w:tcW w:type="dxa" w:w="2550"/>
          </w:tcPr>
          <w:p>
            <w:r>
              <w:t>Vietnam</w:t>
            </w:r>
          </w:p>
        </w:tc>
      </w:tr>
      <w:tr>
        <w:tc>
          <w:tcPr>
            <w:tcW w:type="dxa" w:w="2550"/>
          </w:tcPr>
          <w:p>
            <w:r>
              <w:t>location.region</w:t>
            </w:r>
          </w:p>
        </w:tc>
        <w:tc>
          <w:tcPr>
            <w:tcW w:type="dxa" w:w="2550"/>
          </w:tcPr>
          <w:p>
            <w:r>
              <w:t>demo_curated</w:t>
            </w:r>
          </w:p>
        </w:tc>
        <w:tc>
          <w:tcPr>
            <w:tcW w:type="dxa" w:w="2550"/>
          </w:tcPr>
          <w:p>
            <w:r>
              <w:t>high</w:t>
            </w:r>
          </w:p>
        </w:tc>
        <w:tc>
          <w:tcPr>
            <w:tcW w:type="dxa" w:w="2550"/>
          </w:tcPr>
          <w:p>
            <w:r>
              <w:t>Hanoi</w:t>
            </w:r>
          </w:p>
        </w:tc>
      </w:tr>
      <w:tr>
        <w:tc>
          <w:tcPr>
            <w:tcW w:type="dxa" w:w="2550"/>
          </w:tcPr>
          <w:p>
            <w:r>
              <w:t>location.city</w:t>
            </w:r>
          </w:p>
        </w:tc>
        <w:tc>
          <w:tcPr>
            <w:tcW w:type="dxa" w:w="2550"/>
          </w:tcPr>
          <w:p>
            <w:r>
              <w:t>demo_curated</w:t>
            </w:r>
          </w:p>
        </w:tc>
        <w:tc>
          <w:tcPr>
            <w:tcW w:type="dxa" w:w="2550"/>
          </w:tcPr>
          <w:p>
            <w:r>
              <w:t>high</w:t>
            </w:r>
          </w:p>
        </w:tc>
        <w:tc>
          <w:tcPr>
            <w:tcW w:type="dxa" w:w="2550"/>
          </w:tcPr>
          <w:p>
            <w:r>
              <w:t>Soc Son</w:t>
            </w:r>
          </w:p>
        </w:tc>
      </w:tr>
      <w:tr>
        <w:tc>
          <w:tcPr>
            <w:tcW w:type="dxa" w:w="2550"/>
          </w:tcPr>
          <w:p>
            <w:r>
              <w:t>location.latitude</w:t>
            </w:r>
          </w:p>
        </w:tc>
        <w:tc>
          <w:tcPr>
            <w:tcW w:type="dxa" w:w="2550"/>
          </w:tcPr>
          <w:p>
            <w:r>
              <w:t>demo_curated</w:t>
            </w:r>
          </w:p>
        </w:tc>
        <w:tc>
          <w:tcPr>
            <w:tcW w:type="dxa" w:w="2550"/>
          </w:tcPr>
          <w:p>
            <w:r>
              <w:t>high</w:t>
            </w:r>
          </w:p>
        </w:tc>
        <w:tc>
          <w:tcPr>
            <w:tcW w:type="dxa" w:w="2550"/>
          </w:tcPr>
          <w:p>
            <w:r>
              <w:t>21.259</w:t>
            </w:r>
          </w:p>
        </w:tc>
      </w:tr>
      <w:tr>
        <w:tc>
          <w:tcPr>
            <w:tcW w:type="dxa" w:w="2550"/>
          </w:tcPr>
          <w:p>
            <w:r>
              <w:t>location.longitude</w:t>
            </w:r>
          </w:p>
        </w:tc>
        <w:tc>
          <w:tcPr>
            <w:tcW w:type="dxa" w:w="2550"/>
          </w:tcPr>
          <w:p>
            <w:r>
              <w:t>demo_curated</w:t>
            </w:r>
          </w:p>
        </w:tc>
        <w:tc>
          <w:tcPr>
            <w:tcW w:type="dxa" w:w="2550"/>
          </w:tcPr>
          <w:p>
            <w:r>
              <w:t>high</w:t>
            </w:r>
          </w:p>
        </w:tc>
        <w:tc>
          <w:tcPr>
            <w:tcW w:type="dxa" w:w="2550"/>
          </w:tcPr>
          <w:p>
            <w:r>
              <w:t>105.848</w:t>
            </w:r>
          </w:p>
        </w:tc>
      </w:tr>
      <w:tr>
        <w:tc>
          <w:tcPr>
            <w:tcW w:type="dxa" w:w="2550"/>
          </w:tcPr>
          <w:p>
            <w:r>
              <w:t>location.landfill_latitude</w:t>
            </w:r>
          </w:p>
        </w:tc>
        <w:tc>
          <w:tcPr>
            <w:tcW w:type="dxa" w:w="2550"/>
          </w:tcPr>
          <w:p>
            <w:r>
              <w:t>demo_curated</w:t>
            </w:r>
          </w:p>
        </w:tc>
        <w:tc>
          <w:tcPr>
            <w:tcW w:type="dxa" w:w="2550"/>
          </w:tcPr>
          <w:p>
            <w:r>
              <w:t>high</w:t>
            </w:r>
          </w:p>
        </w:tc>
        <w:tc>
          <w:tcPr>
            <w:tcW w:type="dxa" w:w="2550"/>
          </w:tcPr>
          <w:p>
            <w:r>
              <w:t>21.275</w:t>
            </w:r>
          </w:p>
        </w:tc>
      </w:tr>
      <w:tr>
        <w:tc>
          <w:tcPr>
            <w:tcW w:type="dxa" w:w="2550"/>
          </w:tcPr>
          <w:p>
            <w:r>
              <w:t>location.landfill_longitude</w:t>
            </w:r>
          </w:p>
        </w:tc>
        <w:tc>
          <w:tcPr>
            <w:tcW w:type="dxa" w:w="2550"/>
          </w:tcPr>
          <w:p>
            <w:r>
              <w:t>demo_curated</w:t>
            </w:r>
          </w:p>
        </w:tc>
        <w:tc>
          <w:tcPr>
            <w:tcW w:type="dxa" w:w="2550"/>
          </w:tcPr>
          <w:p>
            <w:r>
              <w:t>high</w:t>
            </w:r>
          </w:p>
        </w:tc>
        <w:tc>
          <w:tcPr>
            <w:tcW w:type="dxa" w:w="2550"/>
          </w:tcPr>
          <w:p>
            <w:r>
              <w:t>105.86</w:t>
            </w:r>
          </w:p>
        </w:tc>
      </w:tr>
      <w:tr>
        <w:tc>
          <w:tcPr>
            <w:tcW w:type="dxa" w:w="2550"/>
          </w:tcPr>
          <w:p>
            <w:r>
              <w:t>dates.start_date</w:t>
            </w:r>
          </w:p>
        </w:tc>
        <w:tc>
          <w:tcPr>
            <w:tcW w:type="dxa" w:w="2550"/>
          </w:tcPr>
          <w:p>
            <w:r>
              <w:t>demo_curated</w:t>
            </w:r>
          </w:p>
        </w:tc>
        <w:tc>
          <w:tcPr>
            <w:tcW w:type="dxa" w:w="2550"/>
          </w:tcPr>
          <w:p>
            <w:r>
              <w:t>high</w:t>
            </w:r>
          </w:p>
        </w:tc>
        <w:tc>
          <w:tcPr>
            <w:tcW w:type="dxa" w:w="2550"/>
          </w:tcPr>
          <w:p>
            <w:r>
              <w:t>2024-01-01</w:t>
            </w:r>
          </w:p>
        </w:tc>
      </w:tr>
      <w:tr>
        <w:tc>
          <w:tcPr>
            <w:tcW w:type="dxa" w:w="2550"/>
          </w:tcPr>
          <w:p>
            <w:r>
              <w:t>dates.crediting_period_start</w:t>
            </w:r>
          </w:p>
        </w:tc>
        <w:tc>
          <w:tcPr>
            <w:tcW w:type="dxa" w:w="2550"/>
          </w:tcPr>
          <w:p>
            <w:r>
              <w:t>demo_curated</w:t>
            </w:r>
          </w:p>
        </w:tc>
        <w:tc>
          <w:tcPr>
            <w:tcW w:type="dxa" w:w="2550"/>
          </w:tcPr>
          <w:p>
            <w:r>
              <w:t>high</w:t>
            </w:r>
          </w:p>
        </w:tc>
        <w:tc>
          <w:tcPr>
            <w:tcW w:type="dxa" w:w="2550"/>
          </w:tcPr>
          <w:p>
            <w:r>
              <w:t>2026-01-01</w:t>
            </w:r>
          </w:p>
        </w:tc>
      </w:tr>
      <w:tr>
        <w:tc>
          <w:tcPr>
            <w:tcW w:type="dxa" w:w="2550"/>
          </w:tcPr>
          <w:p>
            <w:r>
              <w:t>dates.crediting_period_years</w:t>
            </w:r>
          </w:p>
        </w:tc>
        <w:tc>
          <w:tcPr>
            <w:tcW w:type="dxa" w:w="2550"/>
          </w:tcPr>
          <w:p>
            <w:r>
              <w:t>demo_curated</w:t>
            </w:r>
          </w:p>
        </w:tc>
        <w:tc>
          <w:tcPr>
            <w:tcW w:type="dxa" w:w="2550"/>
          </w:tcPr>
          <w:p>
            <w:r>
              <w:t>high</w:t>
            </w:r>
          </w:p>
        </w:tc>
        <w:tc>
          <w:tcPr>
            <w:tcW w:type="dxa" w:w="2550"/>
          </w:tcPr>
          <w:p>
            <w:r>
              <w:t>10</w:t>
            </w:r>
          </w:p>
        </w:tc>
      </w:tr>
      <w:tr>
        <w:tc>
          <w:tcPr>
            <w:tcW w:type="dxa" w:w="2550"/>
          </w:tcPr>
          <w:p>
            <w:r>
              <w:t>technology.methodology_ids</w:t>
            </w:r>
          </w:p>
        </w:tc>
        <w:tc>
          <w:tcPr>
            <w:tcW w:type="dxa" w:w="2550"/>
          </w:tcPr>
          <w:p>
            <w:r>
              <w:t>demo_curated</w:t>
            </w:r>
          </w:p>
        </w:tc>
        <w:tc>
          <w:tcPr>
            <w:tcW w:type="dxa" w:w="2550"/>
          </w:tcPr>
          <w:p>
            <w:r>
              <w:t>high</w:t>
            </w:r>
          </w:p>
        </w:tc>
        <w:tc>
          <w:tcPr>
            <w:tcW w:type="dxa" w:w="2550"/>
          </w:tcPr>
          <w:p>
            <w:r>
              <w:t>['ACM0022']</w:t>
            </w:r>
          </w:p>
        </w:tc>
      </w:tr>
      <w:tr>
        <w:tc>
          <w:tcPr>
            <w:tcW w:type="dxa" w:w="2550"/>
          </w:tcPr>
          <w:p>
            <w:r>
              <w:t>technology.annual_waste_throughput</w:t>
            </w:r>
          </w:p>
        </w:tc>
        <w:tc>
          <w:tcPr>
            <w:tcW w:type="dxa" w:w="2550"/>
          </w:tcPr>
          <w:p>
            <w:r>
              <w:t>demo_curated</w:t>
            </w:r>
          </w:p>
        </w:tc>
        <w:tc>
          <w:tcPr>
            <w:tcW w:type="dxa" w:w="2550"/>
          </w:tcPr>
          <w:p>
            <w:r>
              <w:t>high</w:t>
            </w:r>
          </w:p>
        </w:tc>
        <w:tc>
          <w:tcPr>
            <w:tcW w:type="dxa" w:w="2550"/>
          </w:tcPr>
          <w:p>
            <w:r>
              <w:t>182500.0</w:t>
            </w:r>
          </w:p>
        </w:tc>
      </w:tr>
      <w:tr>
        <w:tc>
          <w:tcPr>
            <w:tcW w:type="dxa" w:w="2550"/>
          </w:tcPr>
          <w:p>
            <w:r>
              <w:t>technology.installed_capacity_mw</w:t>
            </w:r>
          </w:p>
        </w:tc>
        <w:tc>
          <w:tcPr>
            <w:tcW w:type="dxa" w:w="2550"/>
          </w:tcPr>
          <w:p>
            <w:r>
              <w:t>demo_curated</w:t>
            </w:r>
          </w:p>
        </w:tc>
        <w:tc>
          <w:tcPr>
            <w:tcW w:type="dxa" w:w="2550"/>
          </w:tcPr>
          <w:p>
            <w:r>
              <w:t>high</w:t>
            </w:r>
          </w:p>
        </w:tc>
        <w:tc>
          <w:tcPr>
            <w:tcW w:type="dxa" w:w="2550"/>
          </w:tcPr>
          <w:p>
            <w:r>
              <w:t>9.0</w:t>
            </w:r>
          </w:p>
        </w:tc>
      </w:tr>
      <w:tr>
        <w:tc>
          <w:tcPr>
            <w:tcW w:type="dxa" w:w="2550"/>
          </w:tcPr>
          <w:p>
            <w:r>
              <w:t>technology.energy_generation_mwh_year</w:t>
            </w:r>
          </w:p>
        </w:tc>
        <w:tc>
          <w:tcPr>
            <w:tcW w:type="dxa" w:w="2550"/>
          </w:tcPr>
          <w:p>
            <w:r>
              <w:t>demo_curated</w:t>
            </w:r>
          </w:p>
        </w:tc>
        <w:tc>
          <w:tcPr>
            <w:tcW w:type="dxa" w:w="2550"/>
          </w:tcPr>
          <w:p>
            <w:r>
              <w:t>high</w:t>
            </w:r>
          </w:p>
        </w:tc>
        <w:tc>
          <w:tcPr>
            <w:tcW w:type="dxa" w:w="2550"/>
          </w:tcPr>
          <w:p>
            <w:r>
              <w:t>54000.0</w:t>
            </w:r>
          </w:p>
        </w:tc>
      </w:tr>
      <w:tr>
        <w:tc>
          <w:tcPr>
            <w:tcW w:type="dxa" w:w="2550"/>
          </w:tcPr>
          <w:p>
            <w:r>
              <w:t>technology.tip_fee_usd_per_tonne</w:t>
            </w:r>
          </w:p>
        </w:tc>
        <w:tc>
          <w:tcPr>
            <w:tcW w:type="dxa" w:w="2550"/>
          </w:tcPr>
          <w:p>
            <w:r>
              <w:t>demo_curated</w:t>
            </w:r>
          </w:p>
        </w:tc>
        <w:tc>
          <w:tcPr>
            <w:tcW w:type="dxa" w:w="2550"/>
          </w:tcPr>
          <w:p>
            <w:r>
              <w:t>high</w:t>
            </w:r>
          </w:p>
        </w:tc>
        <w:tc>
          <w:tcPr>
            <w:tcW w:type="dxa" w:w="2550"/>
          </w:tcPr>
          <w:p>
            <w:r>
              <w:t>18.0</w:t>
            </w:r>
          </w:p>
        </w:tc>
      </w:tr>
      <w:tr>
        <w:tc>
          <w:tcPr>
            <w:tcW w:type="dxa" w:w="2550"/>
          </w:tcPr>
          <w:p>
            <w:r>
              <w:t>quantification.baseline_emissions_tco2e_per_year</w:t>
            </w:r>
          </w:p>
        </w:tc>
        <w:tc>
          <w:tcPr>
            <w:tcW w:type="dxa" w:w="2550"/>
          </w:tcPr>
          <w:p>
            <w:r>
              <w:t>demo_curated</w:t>
            </w:r>
          </w:p>
        </w:tc>
        <w:tc>
          <w:tcPr>
            <w:tcW w:type="dxa" w:w="2550"/>
          </w:tcPr>
          <w:p>
            <w:r>
              <w:t>high</w:t>
            </w:r>
          </w:p>
        </w:tc>
        <w:tc>
          <w:tcPr>
            <w:tcW w:type="dxa" w:w="2550"/>
          </w:tcPr>
          <w:p>
            <w:r>
              <w:t>98000.0</w:t>
            </w:r>
          </w:p>
        </w:tc>
      </w:tr>
      <w:tr>
        <w:tc>
          <w:tcPr>
            <w:tcW w:type="dxa" w:w="2550"/>
          </w:tcPr>
          <w:p>
            <w:r>
              <w:t>quantification.project_emissions_tco2e_per_year</w:t>
            </w:r>
          </w:p>
        </w:tc>
        <w:tc>
          <w:tcPr>
            <w:tcW w:type="dxa" w:w="2550"/>
          </w:tcPr>
          <w:p>
            <w:r>
              <w:t>demo_curated</w:t>
            </w:r>
          </w:p>
        </w:tc>
        <w:tc>
          <w:tcPr>
            <w:tcW w:type="dxa" w:w="2550"/>
          </w:tcPr>
          <w:p>
            <w:r>
              <w:t>high</w:t>
            </w:r>
          </w:p>
        </w:tc>
        <w:tc>
          <w:tcPr>
            <w:tcW w:type="dxa" w:w="2550"/>
          </w:tcPr>
          <w:p>
            <w:r>
              <w:t>21000.0</w:t>
            </w:r>
          </w:p>
        </w:tc>
      </w:tr>
      <w:tr>
        <w:tc>
          <w:tcPr>
            <w:tcW w:type="dxa" w:w="2550"/>
          </w:tcPr>
          <w:p>
            <w:r>
              <w:t>quantification.leakage_tco2e_per_year</w:t>
            </w:r>
          </w:p>
        </w:tc>
        <w:tc>
          <w:tcPr>
            <w:tcW w:type="dxa" w:w="2550"/>
          </w:tcPr>
          <w:p>
            <w:r>
              <w:t>demo_curated</w:t>
            </w:r>
          </w:p>
        </w:tc>
        <w:tc>
          <w:tcPr>
            <w:tcW w:type="dxa" w:w="2550"/>
          </w:tcPr>
          <w:p>
            <w:r>
              <w:t>high</w:t>
            </w:r>
          </w:p>
        </w:tc>
        <w:tc>
          <w:tcPr>
            <w:tcW w:type="dxa" w:w="2550"/>
          </w:tcPr>
          <w:p>
            <w:r>
              <w:t>2000.0</w:t>
            </w:r>
          </w:p>
        </w:tc>
      </w:tr>
      <w:tr>
        <w:tc>
          <w:tcPr>
            <w:tcW w:type="dxa" w:w="2550"/>
          </w:tcPr>
          <w:p>
            <w:r>
              <w:t>quantification.net_emissions_tco2e_per_year</w:t>
            </w:r>
          </w:p>
        </w:tc>
        <w:tc>
          <w:tcPr>
            <w:tcW w:type="dxa" w:w="2550"/>
          </w:tcPr>
          <w:p>
            <w:r>
              <w:t>demo_curated</w:t>
            </w:r>
          </w:p>
        </w:tc>
        <w:tc>
          <w:tcPr>
            <w:tcW w:type="dxa" w:w="2550"/>
          </w:tcPr>
          <w:p>
            <w:r>
              <w:t>high</w:t>
            </w:r>
          </w:p>
        </w:tc>
        <w:tc>
          <w:tcPr>
            <w:tcW w:type="dxa" w:w="2550"/>
          </w:tcPr>
          <w:p>
            <w:r>
              <w:t>75000.0</w:t>
            </w:r>
          </w:p>
        </w:tc>
      </w:tr>
      <w:tr>
        <w:tc>
          <w:tcPr>
            <w:tcW w:type="dxa" w:w="2550"/>
          </w:tcPr>
          <w:p>
            <w:r>
              <w:t>quantification.grid_emission_factor</w:t>
            </w:r>
          </w:p>
        </w:tc>
        <w:tc>
          <w:tcPr>
            <w:tcW w:type="dxa" w:w="2550"/>
          </w:tcPr>
          <w:p>
            <w:r>
              <w:t>demo_curated</w:t>
            </w:r>
          </w:p>
        </w:tc>
        <w:tc>
          <w:tcPr>
            <w:tcW w:type="dxa" w:w="2550"/>
          </w:tcPr>
          <w:p>
            <w:r>
              <w:t>high</w:t>
            </w:r>
          </w:p>
        </w:tc>
        <w:tc>
          <w:tcPr>
            <w:tcW w:type="dxa" w:w="2550"/>
          </w:tcPr>
          <w:p>
            <w:r>
              <w:t>0.92</w:t>
            </w:r>
          </w:p>
        </w:tc>
      </w:tr>
      <w:tr>
        <w:tc>
          <w:tcPr>
            <w:tcW w:type="dxa" w:w="2550"/>
          </w:tcPr>
          <w:p>
            <w:r>
              <w:t>quantification.grid_emission_factor_source</w:t>
            </w:r>
          </w:p>
        </w:tc>
        <w:tc>
          <w:tcPr>
            <w:tcW w:type="dxa" w:w="2550"/>
          </w:tcPr>
          <w:p>
            <w:r>
              <w:t>demo_curated</w:t>
            </w:r>
          </w:p>
        </w:tc>
        <w:tc>
          <w:tcPr>
            <w:tcW w:type="dxa" w:w="2550"/>
          </w:tcPr>
          <w:p>
            <w:r>
              <w:t>high</w:t>
            </w:r>
          </w:p>
        </w:tc>
        <w:tc>
          <w:tcPr>
            <w:tcW w:type="dxa" w:w="2550"/>
          </w:tcPr>
          <w:p>
            <w:r>
              <w:t>national grid authority 2025 emission factor report</w:t>
            </w:r>
          </w:p>
        </w:tc>
      </w:tr>
      <w:tr>
        <w:tc>
          <w:tcPr>
            <w:tcW w:type="dxa" w:w="2550"/>
          </w:tcPr>
          <w:p>
            <w:r>
              <w:t>quantification.crediting_period_total_tco2e</w:t>
            </w:r>
          </w:p>
        </w:tc>
        <w:tc>
          <w:tcPr>
            <w:tcW w:type="dxa" w:w="2550"/>
          </w:tcPr>
          <w:p>
            <w:r>
              <w:t>demo_curated</w:t>
            </w:r>
          </w:p>
        </w:tc>
        <w:tc>
          <w:tcPr>
            <w:tcW w:type="dxa" w:w="2550"/>
          </w:tcPr>
          <w:p>
            <w:r>
              <w:t>high</w:t>
            </w:r>
          </w:p>
        </w:tc>
        <w:tc>
          <w:tcPr>
            <w:tcW w:type="dxa" w:w="2550"/>
          </w:tcPr>
          <w:p>
            <w:r>
              <w:t>750000.0</w:t>
            </w:r>
          </w:p>
        </w:tc>
      </w:tr>
      <w:tr>
        <w:tc>
          <w:tcPr>
            <w:tcW w:type="dxa" w:w="2550"/>
          </w:tcPr>
          <w:p>
            <w:r>
              <w:t>monitoring.parameters_monitored</w:t>
            </w:r>
          </w:p>
        </w:tc>
        <w:tc>
          <w:tcPr>
            <w:tcW w:type="dxa" w:w="2550"/>
          </w:tcPr>
          <w:p>
            <w:r>
              <w:t>demo_curated</w:t>
            </w:r>
          </w:p>
        </w:tc>
        <w:tc>
          <w:tcPr>
            <w:tcW w:type="dxa" w:w="2550"/>
          </w:tcPr>
          <w:p>
            <w:r>
              <w:t>high</w:t>
            </w:r>
          </w:p>
        </w:tc>
        <w:tc>
          <w:tcPr>
            <w:tcW w:type="dxa" w:w="2550"/>
          </w:tcPr>
          <w:p>
            <w:r>
              <w:t>[{'name': 'Waste throughput', 'unit': 'tonnes/day', 'frequency': 'daily', 'me...</w:t>
            </w:r>
          </w:p>
        </w:tc>
      </w:tr>
      <w:tr>
        <w:tc>
          <w:tcPr>
            <w:tcW w:type="dxa" w:w="2550"/>
          </w:tcPr>
          <w:p>
            <w:r>
              <w:t>monitoring.data_management</w:t>
            </w:r>
          </w:p>
        </w:tc>
        <w:tc>
          <w:tcPr>
            <w:tcW w:type="dxa" w:w="2550"/>
          </w:tcPr>
          <w:p>
            <w:r>
              <w:t>demo_curated</w:t>
            </w:r>
          </w:p>
        </w:tc>
        <w:tc>
          <w:tcPr>
            <w:tcW w:type="dxa" w:w="2550"/>
          </w:tcPr>
          <w:p>
            <w:r>
              <w:t>high</w:t>
            </w:r>
          </w:p>
        </w:tc>
        <w:tc>
          <w:tcPr>
            <w:tcW w:type="dxa" w:w="2550"/>
          </w:tcPr>
          <w:p>
            <w:r>
              <w:t>Operations and monitoring data are logged digitally, reviewed monthly, and ar...</w:t>
            </w:r>
          </w:p>
        </w:tc>
      </w:tr>
      <w:tr>
        <w:tc>
          <w:tcPr>
            <w:tcW w:type="dxa" w:w="2550"/>
          </w:tcPr>
          <w:p>
            <w:r>
              <w:t>safeguards.no_net_harm_statement</w:t>
            </w:r>
          </w:p>
        </w:tc>
        <w:tc>
          <w:tcPr>
            <w:tcW w:type="dxa" w:w="2550"/>
          </w:tcPr>
          <w:p>
            <w:r>
              <w:t>demo_curated</w:t>
            </w:r>
          </w:p>
        </w:tc>
        <w:tc>
          <w:tcPr>
            <w:tcW w:type="dxa" w:w="2550"/>
          </w:tcPr>
          <w:p>
            <w:r>
              <w:t>high</w:t>
            </w:r>
          </w:p>
        </w:tc>
        <w:tc>
          <w:tcPr>
            <w:tcW w:type="dxa" w:w="2550"/>
          </w:tcPr>
          <w:p>
            <w:r>
              <w:t>A no-net-harm assessment has been completed for the demonstration case.</w:t>
            </w:r>
          </w:p>
        </w:tc>
      </w:tr>
      <w:tr>
        <w:tc>
          <w:tcPr>
            <w:tcW w:type="dxa" w:w="2550"/>
          </w:tcPr>
          <w:p>
            <w:r>
              <w:t>safeguards.stakeholder_consultation_completed</w:t>
            </w:r>
          </w:p>
        </w:tc>
        <w:tc>
          <w:tcPr>
            <w:tcW w:type="dxa" w:w="2550"/>
          </w:tcPr>
          <w:p>
            <w:r>
              <w:t>demo_curated</w:t>
            </w:r>
          </w:p>
        </w:tc>
        <w:tc>
          <w:tcPr>
            <w:tcW w:type="dxa" w:w="2550"/>
          </w:tcPr>
          <w:p>
            <w:r>
              <w:t>high</w:t>
            </w:r>
          </w:p>
        </w:tc>
        <w:tc>
          <w:tcPr>
            <w:tcW w:type="dxa" w:w="2550"/>
          </w:tcPr>
          <w:p>
            <w:r>
              <w:t>True</w:t>
            </w:r>
          </w:p>
        </w:tc>
      </w:tr>
      <w:tr>
        <w:tc>
          <w:tcPr>
            <w:tcW w:type="dxa" w:w="2550"/>
          </w:tcPr>
          <w:p>
            <w:r>
              <w:t>safeguards.stakeholder_consultation_date</w:t>
            </w:r>
          </w:p>
        </w:tc>
        <w:tc>
          <w:tcPr>
            <w:tcW w:type="dxa" w:w="2550"/>
          </w:tcPr>
          <w:p>
            <w:r>
              <w:t>demo_curated</w:t>
            </w:r>
          </w:p>
        </w:tc>
        <w:tc>
          <w:tcPr>
            <w:tcW w:type="dxa" w:w="2550"/>
          </w:tcPr>
          <w:p>
            <w:r>
              <w:t>high</w:t>
            </w:r>
          </w:p>
        </w:tc>
        <w:tc>
          <w:tcPr>
            <w:tcW w:type="dxa" w:w="2550"/>
          </w:tcPr>
          <w:p>
            <w:r>
              <w:t>2025-09-15</w:t>
            </w:r>
          </w:p>
        </w:tc>
      </w:tr>
      <w:tr>
        <w:tc>
          <w:tcPr>
            <w:tcW w:type="dxa" w:w="2550"/>
          </w:tcPr>
          <w:p>
            <w:r>
              <w:t>safeguards.environmental_impact_assessment</w:t>
            </w:r>
          </w:p>
        </w:tc>
        <w:tc>
          <w:tcPr>
            <w:tcW w:type="dxa" w:w="2550"/>
          </w:tcPr>
          <w:p>
            <w:r>
              <w:t>demo_curated</w:t>
            </w:r>
          </w:p>
        </w:tc>
        <w:tc>
          <w:tcPr>
            <w:tcW w:type="dxa" w:w="2550"/>
          </w:tcPr>
          <w:p>
            <w:r>
              <w:t>high</w:t>
            </w:r>
          </w:p>
        </w:tc>
        <w:tc>
          <w:tcPr>
            <w:tcW w:type="dxa" w:w="2550"/>
          </w:tcPr>
          <w:p>
            <w:r>
              <w:t>True</w:t>
            </w:r>
          </w:p>
        </w:tc>
      </w:tr>
      <w:tr>
        <w:tc>
          <w:tcPr>
            <w:tcW w:type="dxa" w:w="2550"/>
          </w:tcPr>
          <w:p>
            <w:r>
              <w:t>safeguards.eia_reference</w:t>
            </w:r>
          </w:p>
        </w:tc>
        <w:tc>
          <w:tcPr>
            <w:tcW w:type="dxa" w:w="2550"/>
          </w:tcPr>
          <w:p>
            <w:r>
              <w:t>demo_curated</w:t>
            </w:r>
          </w:p>
        </w:tc>
        <w:tc>
          <w:tcPr>
            <w:tcW w:type="dxa" w:w="2550"/>
          </w:tcPr>
          <w:p>
            <w:r>
              <w:t>high</w:t>
            </w:r>
          </w:p>
        </w:tc>
        <w:tc>
          <w:tcPr>
            <w:tcW w:type="dxa" w:w="2550"/>
          </w:tcPr>
          <w:p>
            <w:r>
              <w:t>Hanoi WTE EIA permit 2025-SS-17</w:t>
            </w:r>
          </w:p>
        </w:tc>
      </w:tr>
      <w:tr>
        <w:tc>
          <w:tcPr>
            <w:tcW w:type="dxa" w:w="2550"/>
          </w:tcPr>
          <w:p>
            <w:r>
              <w:t>compliance_and_ownership.credit_ownership_statement</w:t>
            </w:r>
          </w:p>
        </w:tc>
        <w:tc>
          <w:tcPr>
            <w:tcW w:type="dxa" w:w="2550"/>
          </w:tcPr>
          <w:p>
            <w:r>
              <w:t>demo_curated</w:t>
            </w:r>
          </w:p>
        </w:tc>
        <w:tc>
          <w:tcPr>
            <w:tcW w:type="dxa" w:w="2550"/>
          </w:tcPr>
          <w:p>
            <w:r>
              <w:t>high</w:t>
            </w:r>
          </w:p>
        </w:tc>
        <w:tc>
          <w:tcPr>
            <w:tcW w:type="dxa" w:w="2550"/>
          </w:tcPr>
          <w:p>
            <w:r>
              <w:t>The project proponent retains exclusive ownership of the environmental attrib...</w:t>
            </w:r>
          </w:p>
        </w:tc>
      </w:tr>
    </w:tbl>
    <w:p/>
    <w:p>
      <w:r>
        <w:rPr>
          <w:b/>
        </w:rPr>
        <w:t>Assumption guardrails:</w:t>
      </w:r>
    </w:p>
    <w:p>
      <w:r>
        <w:t>This assumptions file supports the synthetic client-demo path and intentionally avoids review-gated missing-data placeholders.</w:t>
      </w:r>
    </w:p>
    <w:p>
      <w:r>
        <w:t>All values remain synthetic demo inputs and must not be treated as verified project evidence.</w:t>
      </w:r>
    </w:p>
    <w:sectPr w:rsidR="00DF6FEE" w:rsidRPr="00A226CA" w:rsidSect="00030969">
      <w:footerReference w:type="default" r:id="rId18"/>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2FE67" w14:textId="77777777" w:rsidR="00E715B7" w:rsidRDefault="00E715B7" w:rsidP="00D109C1">
      <w:pPr>
        <w:spacing w:after="0" w:line="240" w:lineRule="auto"/>
      </w:pPr>
      <w:r>
        <w:separator/>
      </w:r>
    </w:p>
  </w:endnote>
  <w:endnote w:type="continuationSeparator" w:id="0">
    <w:p w14:paraId="40B29E3F" w14:textId="77777777" w:rsidR="00E715B7" w:rsidRDefault="00E715B7" w:rsidP="00D109C1">
      <w:pPr>
        <w:spacing w:after="0" w:line="240" w:lineRule="auto"/>
      </w:pPr>
      <w:r>
        <w:continuationSeparator/>
      </w:r>
    </w:p>
  </w:endnote>
  <w:endnote w:type="continuationNotice" w:id="1">
    <w:p w14:paraId="4DB74607" w14:textId="77777777" w:rsidR="00E715B7" w:rsidRDefault="00E71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Zilla Slab">
    <w:altName w:val="Times New Roman"/>
    <w:panose1 w:val="00000000000000000000"/>
    <w:charset w:val="00"/>
    <w:family w:val="auto"/>
    <w:pitch w:val="variable"/>
    <w:sig w:usb0="A00000FF" w:usb1="5001E47B"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830436"/>
      <w:docPartObj>
        <w:docPartGallery w:val="Page Numbers (Bottom of Page)"/>
        <w:docPartUnique/>
      </w:docPartObj>
    </w:sdtPr>
    <w:sdtEndPr>
      <w:rPr>
        <w:noProof/>
      </w:rPr>
    </w:sdtEndPr>
    <w:sdtContent>
      <w:p w14:paraId="327B1B87" w14:textId="28856F0D"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22</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119634"/>
      <w:docPartObj>
        <w:docPartGallery w:val="Page Numbers (Bottom of Page)"/>
        <w:docPartUnique/>
      </w:docPartObj>
    </w:sdtPr>
    <w:sdtEndPr>
      <w:rPr>
        <w:noProof/>
      </w:rPr>
    </w:sdtEndPr>
    <w:sdtContent>
      <w:p w14:paraId="0B5432DA" w14:textId="683D36DB"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D43651" w14:textId="77777777" w:rsidR="00E715B7" w:rsidRDefault="00E715B7" w:rsidP="00D109C1">
      <w:pPr>
        <w:spacing w:after="0" w:line="240" w:lineRule="auto"/>
      </w:pPr>
      <w:r>
        <w:separator/>
      </w:r>
    </w:p>
  </w:footnote>
  <w:footnote w:type="continuationSeparator" w:id="0">
    <w:p w14:paraId="7482C25F" w14:textId="77777777" w:rsidR="00E715B7" w:rsidRDefault="00E715B7" w:rsidP="00D109C1">
      <w:pPr>
        <w:spacing w:after="0" w:line="240" w:lineRule="auto"/>
      </w:pPr>
      <w:r>
        <w:continuationSeparator/>
      </w:r>
    </w:p>
  </w:footnote>
  <w:footnote w:type="continuationNotice" w:id="1">
    <w:p w14:paraId="3E277B44" w14:textId="77777777" w:rsidR="00E715B7" w:rsidRDefault="00E715B7">
      <w:pPr>
        <w:spacing w:after="0" w:line="240" w:lineRule="auto"/>
      </w:pPr>
    </w:p>
  </w:footnote>
  <w:footnote w:id="2">
    <w:p w14:paraId="7C7EA02E" w14:textId="77777777" w:rsidR="00B46869" w:rsidRPr="000846E7" w:rsidRDefault="00B46869" w:rsidP="00030969">
      <w:pPr>
        <w:pStyle w:val="SDVFootnote"/>
        <w:rPr>
          <w:color w:val="auto"/>
        </w:rPr>
      </w:pPr>
      <w:r>
        <w:rPr>
          <w:rStyle w:val="FootnoteReference"/>
        </w:rPr>
        <w:footnoteRef/>
      </w:r>
      <w:r>
        <w:t xml:space="preserve"> </w:t>
      </w:r>
      <w:r w:rsidRPr="0079438F">
        <w:rPr>
          <w:rFonts w:ascii="Calibri" w:hAnsi="Calibri" w:cs="Calibri"/>
        </w:rPr>
        <w:t xml:space="preserve">The ILO Core Labour conventions are the </w:t>
      </w:r>
      <w:hyperlink r:id="rId1">
        <w:r w:rsidRPr="00030969">
          <w:rPr>
            <w:rFonts w:ascii="Calibri" w:hAnsi="Calibri" w:cs="Calibri"/>
            <w:u w:val="single"/>
          </w:rPr>
          <w:t>Forced Labour Convention</w:t>
        </w:r>
        <w:r w:rsidRPr="0079438F">
          <w:rPr>
            <w:rFonts w:ascii="Calibri" w:hAnsi="Calibri" w:cs="Calibri"/>
          </w:rPr>
          <w:t>, 1930 (No. 29)</w:t>
        </w:r>
      </w:hyperlink>
      <w:r w:rsidRPr="0079438F">
        <w:rPr>
          <w:rFonts w:ascii="Calibri" w:hAnsi="Calibri" w:cs="Calibri"/>
        </w:rPr>
        <w:t xml:space="preserve">, </w:t>
      </w:r>
      <w:hyperlink r:id="rId2">
        <w:r w:rsidRPr="00030969">
          <w:rPr>
            <w:rFonts w:ascii="Calibri" w:hAnsi="Calibri" w:cs="Calibri"/>
            <w:u w:val="single"/>
          </w:rPr>
          <w:t>Freedom of Association and Protection of the Right to Organise Convention</w:t>
        </w:r>
        <w:r w:rsidRPr="0079438F">
          <w:rPr>
            <w:rFonts w:ascii="Calibri" w:hAnsi="Calibri" w:cs="Calibri"/>
          </w:rPr>
          <w:t>, 1948 (No. 87)</w:t>
        </w:r>
      </w:hyperlink>
      <w:r w:rsidRPr="0079438F">
        <w:rPr>
          <w:rFonts w:ascii="Calibri" w:hAnsi="Calibri" w:cs="Calibri"/>
        </w:rPr>
        <w:t xml:space="preserve">, </w:t>
      </w:r>
      <w:hyperlink r:id="rId3">
        <w:r w:rsidRPr="00030969">
          <w:rPr>
            <w:rFonts w:ascii="Calibri" w:hAnsi="Calibri" w:cs="Calibri"/>
            <w:u w:val="single"/>
          </w:rPr>
          <w:t>Right to Organise and Collective Bargaining Convention</w:t>
        </w:r>
        <w:r w:rsidRPr="0079438F">
          <w:rPr>
            <w:rFonts w:ascii="Calibri" w:hAnsi="Calibri" w:cs="Calibri"/>
          </w:rPr>
          <w:t>, 1949 (No. 98)</w:t>
        </w:r>
      </w:hyperlink>
      <w:r w:rsidRPr="0079438F">
        <w:rPr>
          <w:rFonts w:ascii="Calibri" w:hAnsi="Calibri" w:cs="Calibri"/>
        </w:rPr>
        <w:t xml:space="preserve">, </w:t>
      </w:r>
      <w:hyperlink r:id="rId4">
        <w:r w:rsidRPr="00030969">
          <w:rPr>
            <w:rFonts w:ascii="Calibri" w:hAnsi="Calibri" w:cs="Calibri"/>
            <w:u w:val="single"/>
          </w:rPr>
          <w:t>Equal Remuneration Convention</w:t>
        </w:r>
        <w:r w:rsidRPr="0079438F">
          <w:rPr>
            <w:rFonts w:ascii="Calibri" w:hAnsi="Calibri" w:cs="Calibri"/>
          </w:rPr>
          <w:t>, 1951 (No. 100)</w:t>
        </w:r>
      </w:hyperlink>
      <w:r w:rsidRPr="0079438F">
        <w:rPr>
          <w:rFonts w:ascii="Calibri" w:hAnsi="Calibri" w:cs="Calibri"/>
        </w:rPr>
        <w:t xml:space="preserve">, </w:t>
      </w:r>
      <w:hyperlink r:id="rId5">
        <w:r w:rsidRPr="00030969">
          <w:rPr>
            <w:rFonts w:ascii="Calibri" w:hAnsi="Calibri" w:cs="Calibri"/>
            <w:u w:val="single"/>
          </w:rPr>
          <w:t>Abolition of Forced Labour Convention</w:t>
        </w:r>
        <w:r w:rsidRPr="0079438F">
          <w:rPr>
            <w:rFonts w:ascii="Calibri" w:hAnsi="Calibri" w:cs="Calibri"/>
          </w:rPr>
          <w:t>, 1957 (No. 105)</w:t>
        </w:r>
      </w:hyperlink>
      <w:r w:rsidRPr="0079438F">
        <w:rPr>
          <w:rFonts w:ascii="Calibri" w:hAnsi="Calibri" w:cs="Calibri"/>
        </w:rPr>
        <w:t xml:space="preserve">, </w:t>
      </w:r>
      <w:hyperlink r:id="rId6">
        <w:r w:rsidRPr="00030969">
          <w:rPr>
            <w:rFonts w:ascii="Calibri" w:hAnsi="Calibri" w:cs="Calibri"/>
            <w:u w:val="single"/>
          </w:rPr>
          <w:t xml:space="preserve">Discrimination (Employment and </w:t>
        </w:r>
        <w:r w:rsidRPr="00030969">
          <w:rPr>
            <w:u w:val="single"/>
          </w:rPr>
          <w:t>Occupation</w:t>
        </w:r>
        <w:r w:rsidRPr="00030969">
          <w:rPr>
            <w:rFonts w:ascii="Calibri" w:hAnsi="Calibri" w:cs="Calibri"/>
            <w:u w:val="single"/>
          </w:rPr>
          <w:t>) Convention</w:t>
        </w:r>
        <w:r w:rsidRPr="0079438F">
          <w:rPr>
            <w:rFonts w:ascii="Calibri" w:hAnsi="Calibri" w:cs="Calibri"/>
          </w:rPr>
          <w:t>, 1958 (No. 111)</w:t>
        </w:r>
      </w:hyperlink>
      <w:r w:rsidRPr="0079438F">
        <w:rPr>
          <w:rFonts w:ascii="Calibri" w:hAnsi="Calibri" w:cs="Calibri"/>
        </w:rPr>
        <w:t xml:space="preserve">, </w:t>
      </w:r>
      <w:hyperlink r:id="rId7">
        <w:r w:rsidRPr="00030969">
          <w:rPr>
            <w:rFonts w:ascii="Calibri" w:hAnsi="Calibri" w:cs="Calibri"/>
            <w:u w:val="single"/>
          </w:rPr>
          <w:t>Minimum Age Convention</w:t>
        </w:r>
        <w:r w:rsidRPr="0079438F">
          <w:rPr>
            <w:rFonts w:ascii="Calibri" w:hAnsi="Calibri" w:cs="Calibri"/>
          </w:rPr>
          <w:t>, 1973 (No. 138)</w:t>
        </w:r>
      </w:hyperlink>
      <w:r w:rsidRPr="0079438F">
        <w:rPr>
          <w:rFonts w:ascii="Calibri" w:hAnsi="Calibri" w:cs="Calibri"/>
        </w:rPr>
        <w:t xml:space="preserve"> and the </w:t>
      </w:r>
      <w:hyperlink r:id="rId8">
        <w:r w:rsidRPr="00030969">
          <w:rPr>
            <w:rFonts w:ascii="Calibri" w:hAnsi="Calibri" w:cs="Calibri"/>
            <w:u w:val="single"/>
          </w:rPr>
          <w:t>Worst Forms of Child Labour Convention</w:t>
        </w:r>
        <w:r w:rsidRPr="0079438F">
          <w:rPr>
            <w:rFonts w:ascii="Calibri" w:hAnsi="Calibri" w:cs="Calibri"/>
          </w:rPr>
          <w:t>, 1999 (No. 182)</w:t>
        </w:r>
      </w:hyperlink>
      <w:r w:rsidRPr="0079438F">
        <w:rPr>
          <w:rFonts w:ascii="Calibri" w:hAnsi="Calibri" w:cs="Calibr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A8CF8" w14:textId="01D4D6ED"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61312" behindDoc="1" locked="0" layoutInCell="1" allowOverlap="1" wp14:anchorId="340263FF" wp14:editId="5AC30933">
          <wp:simplePos x="0" y="0"/>
          <wp:positionH relativeFrom="margin">
            <wp:posOffset>0</wp:posOffset>
          </wp:positionH>
          <wp:positionV relativeFrom="paragraph">
            <wp:posOffset>-194149</wp:posOffset>
          </wp:positionV>
          <wp:extent cx="1294975" cy="36497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1A877" w14:textId="7ED21E59" w:rsidR="00B46869" w:rsidRPr="002A3A28" w:rsidRDefault="00B46869" w:rsidP="002A3A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CA8A9" w14:textId="258796DC"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9264" behindDoc="1" locked="0" layoutInCell="1" allowOverlap="1" wp14:anchorId="18D0FBD3" wp14:editId="24599536">
          <wp:simplePos x="0" y="0"/>
          <wp:positionH relativeFrom="margin">
            <wp:posOffset>0</wp:posOffset>
          </wp:positionH>
          <wp:positionV relativeFrom="paragraph">
            <wp:posOffset>-194149</wp:posOffset>
          </wp:positionV>
          <wp:extent cx="1294975" cy="364973"/>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BBC289D"/>
    <w:multiLevelType w:val="hybridMultilevel"/>
    <w:tmpl w:val="CD688C6C"/>
    <w:lvl w:ilvl="0" w:tplc="10CA6A42">
      <w:start w:val="1"/>
      <w:numFmt w:val="bullet"/>
      <w:pStyle w:val="Bullets"/>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6"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6"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CE0D03"/>
    <w:multiLevelType w:val="multilevel"/>
    <w:tmpl w:val="5BAC35EE"/>
    <w:lvl w:ilvl="0">
      <w:start w:val="1"/>
      <w:numFmt w:val="decimal"/>
      <w:pStyle w:val="Heading1"/>
      <w:lvlText w:val="%1"/>
      <w:lvlJc w:val="left"/>
      <w:pPr>
        <w:ind w:left="720" w:hanging="720"/>
      </w:pPr>
      <w:rPr>
        <w:rFonts w:hint="default"/>
        <w:color w:val="2B3A57"/>
      </w:rPr>
    </w:lvl>
    <w:lvl w:ilvl="1">
      <w:start w:val="1"/>
      <w:numFmt w:val="decimal"/>
      <w:pStyle w:val="Heading2"/>
      <w:lvlText w:val="%1.%2"/>
      <w:lvlJc w:val="left"/>
      <w:pPr>
        <w:ind w:left="7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9"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3"/>
  </w:num>
  <w:num w:numId="4">
    <w:abstractNumId w:val="13"/>
  </w:num>
  <w:num w:numId="5">
    <w:abstractNumId w:val="19"/>
  </w:num>
  <w:num w:numId="6">
    <w:abstractNumId w:val="9"/>
  </w:num>
  <w:num w:numId="7">
    <w:abstractNumId w:val="8"/>
  </w:num>
  <w:num w:numId="8">
    <w:abstractNumId w:val="14"/>
  </w:num>
  <w:num w:numId="9">
    <w:abstractNumId w:val="0"/>
  </w:num>
  <w:num w:numId="10">
    <w:abstractNumId w:val="21"/>
  </w:num>
  <w:num w:numId="11">
    <w:abstractNumId w:val="12"/>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8"/>
  </w:num>
  <w:num w:numId="21">
    <w:abstractNumId w:val="18"/>
  </w:num>
  <w:num w:numId="22">
    <w:abstractNumId w:val="20"/>
  </w:num>
  <w:num w:numId="23">
    <w:abstractNumId w:val="18"/>
  </w:num>
  <w:num w:numId="24">
    <w:abstractNumId w:val="18"/>
  </w:num>
  <w:num w:numId="25">
    <w:abstractNumId w:val="18"/>
  </w:num>
  <w:num w:numId="26">
    <w:abstractNumId w:val="4"/>
  </w:num>
  <w:num w:numId="27">
    <w:abstractNumId w:val="20"/>
  </w:num>
  <w:num w:numId="28">
    <w:abstractNumId w:val="18"/>
  </w:num>
  <w:num w:numId="29">
    <w:abstractNumId w:val="18"/>
  </w:num>
  <w:num w:numId="30">
    <w:abstractNumId w:val="18"/>
  </w:num>
  <w:num w:numId="31">
    <w:abstractNumId w:val="4"/>
  </w:num>
  <w:num w:numId="32">
    <w:abstractNumId w:val="20"/>
  </w:num>
  <w:num w:numId="33">
    <w:abstractNumId w:val="18"/>
  </w:num>
  <w:num w:numId="34">
    <w:abstractNumId w:val="15"/>
  </w:num>
  <w:num w:numId="35">
    <w:abstractNumId w:val="5"/>
  </w:num>
  <w:num w:numId="36">
    <w:abstractNumId w:val="18"/>
  </w:num>
  <w:num w:numId="37">
    <w:abstractNumId w:val="18"/>
  </w:num>
  <w:num w:numId="38">
    <w:abstractNumId w:val="18"/>
  </w:num>
  <w:num w:numId="39">
    <w:abstractNumId w:val="17"/>
  </w:num>
  <w:num w:numId="40">
    <w:abstractNumId w:val="1"/>
  </w:num>
  <w:num w:numId="41">
    <w:abstractNumId w:val="7"/>
  </w:num>
  <w:num w:numId="42">
    <w:abstractNumId w:val="11"/>
  </w:num>
  <w:num w:numId="43">
    <w:abstractNumId w:val="18"/>
    <w:lvlOverride w:ilvl="0">
      <w:startOverride w:val="2"/>
    </w:lvlOverride>
    <w:lvlOverride w:ilvl="1">
      <w:startOverride w:val="1"/>
    </w:lvlOverride>
    <w:lvlOverride w:ilvl="2">
      <w:startOverride w:val="6"/>
    </w:lvlOverride>
  </w:num>
  <w:num w:numId="44">
    <w:abstractNumId w:val="18"/>
    <w:lvlOverride w:ilvl="0">
      <w:startOverride w:val="6"/>
    </w:lvlOverride>
    <w:lvlOverride w:ilvl="1">
      <w:startOverride w:val="1"/>
    </w:lvlOverride>
    <w:lvlOverride w:ilvl="2">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6"/>
    <w:rsid w:val="000012C3"/>
    <w:rsid w:val="000040EA"/>
    <w:rsid w:val="00005855"/>
    <w:rsid w:val="00013E78"/>
    <w:rsid w:val="000143C0"/>
    <w:rsid w:val="000156D9"/>
    <w:rsid w:val="00017FAA"/>
    <w:rsid w:val="00021D8F"/>
    <w:rsid w:val="0002251D"/>
    <w:rsid w:val="00024CFD"/>
    <w:rsid w:val="00030969"/>
    <w:rsid w:val="0003165C"/>
    <w:rsid w:val="0003211D"/>
    <w:rsid w:val="00033140"/>
    <w:rsid w:val="000334E6"/>
    <w:rsid w:val="000336C9"/>
    <w:rsid w:val="000401C2"/>
    <w:rsid w:val="000436BC"/>
    <w:rsid w:val="00044DE1"/>
    <w:rsid w:val="000555A1"/>
    <w:rsid w:val="00055C3F"/>
    <w:rsid w:val="00056F0D"/>
    <w:rsid w:val="00060774"/>
    <w:rsid w:val="00074A07"/>
    <w:rsid w:val="00074DAB"/>
    <w:rsid w:val="00075080"/>
    <w:rsid w:val="00076C34"/>
    <w:rsid w:val="0007771F"/>
    <w:rsid w:val="00082807"/>
    <w:rsid w:val="000846E7"/>
    <w:rsid w:val="00084DC5"/>
    <w:rsid w:val="000853B2"/>
    <w:rsid w:val="00085432"/>
    <w:rsid w:val="0008641C"/>
    <w:rsid w:val="00090981"/>
    <w:rsid w:val="00094FDE"/>
    <w:rsid w:val="00097080"/>
    <w:rsid w:val="000A08AB"/>
    <w:rsid w:val="000A0FBA"/>
    <w:rsid w:val="000A4955"/>
    <w:rsid w:val="000A5ECA"/>
    <w:rsid w:val="000A7858"/>
    <w:rsid w:val="000A7ECC"/>
    <w:rsid w:val="000B0203"/>
    <w:rsid w:val="000B14F2"/>
    <w:rsid w:val="000B259B"/>
    <w:rsid w:val="000B3947"/>
    <w:rsid w:val="000C3B3F"/>
    <w:rsid w:val="000C3B79"/>
    <w:rsid w:val="000C4987"/>
    <w:rsid w:val="000C6835"/>
    <w:rsid w:val="000D0105"/>
    <w:rsid w:val="000D5587"/>
    <w:rsid w:val="000D5729"/>
    <w:rsid w:val="000D6B8C"/>
    <w:rsid w:val="000E475C"/>
    <w:rsid w:val="000F0B58"/>
    <w:rsid w:val="000F0F23"/>
    <w:rsid w:val="000F4070"/>
    <w:rsid w:val="000F513D"/>
    <w:rsid w:val="000F764F"/>
    <w:rsid w:val="00102AAD"/>
    <w:rsid w:val="00105715"/>
    <w:rsid w:val="001061E1"/>
    <w:rsid w:val="001114A7"/>
    <w:rsid w:val="0011190A"/>
    <w:rsid w:val="001128A6"/>
    <w:rsid w:val="001139B1"/>
    <w:rsid w:val="00114FF3"/>
    <w:rsid w:val="00116DAD"/>
    <w:rsid w:val="0011709B"/>
    <w:rsid w:val="00120784"/>
    <w:rsid w:val="001212C6"/>
    <w:rsid w:val="0012703B"/>
    <w:rsid w:val="0013098E"/>
    <w:rsid w:val="001336CE"/>
    <w:rsid w:val="00140098"/>
    <w:rsid w:val="001415A2"/>
    <w:rsid w:val="00146584"/>
    <w:rsid w:val="001518F8"/>
    <w:rsid w:val="00153513"/>
    <w:rsid w:val="00156178"/>
    <w:rsid w:val="001573EC"/>
    <w:rsid w:val="0016118D"/>
    <w:rsid w:val="0016195F"/>
    <w:rsid w:val="00175614"/>
    <w:rsid w:val="001760BA"/>
    <w:rsid w:val="00176C9C"/>
    <w:rsid w:val="001816F0"/>
    <w:rsid w:val="00184527"/>
    <w:rsid w:val="001925B4"/>
    <w:rsid w:val="00196B03"/>
    <w:rsid w:val="00196CBC"/>
    <w:rsid w:val="001A46E7"/>
    <w:rsid w:val="001A4703"/>
    <w:rsid w:val="001A4D38"/>
    <w:rsid w:val="001A583F"/>
    <w:rsid w:val="001A5F83"/>
    <w:rsid w:val="001A7CE7"/>
    <w:rsid w:val="001A7D14"/>
    <w:rsid w:val="001B403A"/>
    <w:rsid w:val="001B4ADE"/>
    <w:rsid w:val="001C0D6B"/>
    <w:rsid w:val="001C14B9"/>
    <w:rsid w:val="001D5A75"/>
    <w:rsid w:val="001E0C76"/>
    <w:rsid w:val="001E7631"/>
    <w:rsid w:val="001F62DB"/>
    <w:rsid w:val="001F7868"/>
    <w:rsid w:val="001F7AA3"/>
    <w:rsid w:val="002078A1"/>
    <w:rsid w:val="0021028F"/>
    <w:rsid w:val="0021043B"/>
    <w:rsid w:val="00214EE7"/>
    <w:rsid w:val="00215854"/>
    <w:rsid w:val="00216F3E"/>
    <w:rsid w:val="002341A0"/>
    <w:rsid w:val="00240CB9"/>
    <w:rsid w:val="002511CA"/>
    <w:rsid w:val="002534A8"/>
    <w:rsid w:val="00264BAE"/>
    <w:rsid w:val="00270D08"/>
    <w:rsid w:val="00271606"/>
    <w:rsid w:val="00274CCA"/>
    <w:rsid w:val="00276B9F"/>
    <w:rsid w:val="00281D9D"/>
    <w:rsid w:val="00282E38"/>
    <w:rsid w:val="00283592"/>
    <w:rsid w:val="0028419E"/>
    <w:rsid w:val="00285C5B"/>
    <w:rsid w:val="00286956"/>
    <w:rsid w:val="0029097B"/>
    <w:rsid w:val="00291F3C"/>
    <w:rsid w:val="00296ADC"/>
    <w:rsid w:val="00297376"/>
    <w:rsid w:val="00297595"/>
    <w:rsid w:val="00297CA4"/>
    <w:rsid w:val="002A03B8"/>
    <w:rsid w:val="002A21FE"/>
    <w:rsid w:val="002A3A28"/>
    <w:rsid w:val="002A6DDF"/>
    <w:rsid w:val="002B1642"/>
    <w:rsid w:val="002B6331"/>
    <w:rsid w:val="002C14E8"/>
    <w:rsid w:val="002C1611"/>
    <w:rsid w:val="002C18C4"/>
    <w:rsid w:val="002C26A0"/>
    <w:rsid w:val="002C32C0"/>
    <w:rsid w:val="002C51C0"/>
    <w:rsid w:val="002C70AD"/>
    <w:rsid w:val="002C7911"/>
    <w:rsid w:val="002D2075"/>
    <w:rsid w:val="002D349D"/>
    <w:rsid w:val="002E70EB"/>
    <w:rsid w:val="002F0AE2"/>
    <w:rsid w:val="002F36FC"/>
    <w:rsid w:val="002F43D1"/>
    <w:rsid w:val="002F46FA"/>
    <w:rsid w:val="002F5474"/>
    <w:rsid w:val="002F63B9"/>
    <w:rsid w:val="002F7ABB"/>
    <w:rsid w:val="002F7B5F"/>
    <w:rsid w:val="00300B79"/>
    <w:rsid w:val="00305699"/>
    <w:rsid w:val="00305C7B"/>
    <w:rsid w:val="00305C93"/>
    <w:rsid w:val="00306428"/>
    <w:rsid w:val="00310455"/>
    <w:rsid w:val="00310BE8"/>
    <w:rsid w:val="00310D62"/>
    <w:rsid w:val="00313EA3"/>
    <w:rsid w:val="00314616"/>
    <w:rsid w:val="0031501A"/>
    <w:rsid w:val="0031771B"/>
    <w:rsid w:val="0032163D"/>
    <w:rsid w:val="00324DDF"/>
    <w:rsid w:val="0032727A"/>
    <w:rsid w:val="0033045E"/>
    <w:rsid w:val="0033394A"/>
    <w:rsid w:val="0033547A"/>
    <w:rsid w:val="00340A18"/>
    <w:rsid w:val="00342808"/>
    <w:rsid w:val="0034531B"/>
    <w:rsid w:val="00347778"/>
    <w:rsid w:val="00351CA3"/>
    <w:rsid w:val="00351EF7"/>
    <w:rsid w:val="0035284D"/>
    <w:rsid w:val="00352945"/>
    <w:rsid w:val="00352F23"/>
    <w:rsid w:val="00362399"/>
    <w:rsid w:val="00362F5E"/>
    <w:rsid w:val="00366351"/>
    <w:rsid w:val="00367D26"/>
    <w:rsid w:val="00371142"/>
    <w:rsid w:val="00374F4A"/>
    <w:rsid w:val="00375E12"/>
    <w:rsid w:val="00377159"/>
    <w:rsid w:val="00381ABF"/>
    <w:rsid w:val="003838EA"/>
    <w:rsid w:val="0038449E"/>
    <w:rsid w:val="003865E2"/>
    <w:rsid w:val="00390DF3"/>
    <w:rsid w:val="00393466"/>
    <w:rsid w:val="0039610F"/>
    <w:rsid w:val="003A21B1"/>
    <w:rsid w:val="003A43D8"/>
    <w:rsid w:val="003B0484"/>
    <w:rsid w:val="003B5E87"/>
    <w:rsid w:val="003B7E7D"/>
    <w:rsid w:val="003C19C7"/>
    <w:rsid w:val="003C7DBB"/>
    <w:rsid w:val="003D792B"/>
    <w:rsid w:val="003D7FF3"/>
    <w:rsid w:val="003E0747"/>
    <w:rsid w:val="003E1757"/>
    <w:rsid w:val="003E6F1E"/>
    <w:rsid w:val="003F2323"/>
    <w:rsid w:val="003F3ED0"/>
    <w:rsid w:val="003F4802"/>
    <w:rsid w:val="003F6F55"/>
    <w:rsid w:val="00407887"/>
    <w:rsid w:val="00415F29"/>
    <w:rsid w:val="00417150"/>
    <w:rsid w:val="00417BF0"/>
    <w:rsid w:val="0042296D"/>
    <w:rsid w:val="00426E05"/>
    <w:rsid w:val="004273ED"/>
    <w:rsid w:val="00432476"/>
    <w:rsid w:val="00436EE5"/>
    <w:rsid w:val="004416DF"/>
    <w:rsid w:val="004436ED"/>
    <w:rsid w:val="00443E2D"/>
    <w:rsid w:val="00444FAB"/>
    <w:rsid w:val="0045008D"/>
    <w:rsid w:val="00452A88"/>
    <w:rsid w:val="00453512"/>
    <w:rsid w:val="00453B95"/>
    <w:rsid w:val="00455D09"/>
    <w:rsid w:val="00464E3A"/>
    <w:rsid w:val="00467934"/>
    <w:rsid w:val="0047150F"/>
    <w:rsid w:val="0047257D"/>
    <w:rsid w:val="004726A6"/>
    <w:rsid w:val="004736C5"/>
    <w:rsid w:val="0047625C"/>
    <w:rsid w:val="004853A6"/>
    <w:rsid w:val="00496FF5"/>
    <w:rsid w:val="004A1494"/>
    <w:rsid w:val="004A1BFB"/>
    <w:rsid w:val="004A29F3"/>
    <w:rsid w:val="004A50D0"/>
    <w:rsid w:val="004A5588"/>
    <w:rsid w:val="004A6D75"/>
    <w:rsid w:val="004B2ECE"/>
    <w:rsid w:val="004B3D6C"/>
    <w:rsid w:val="004B528E"/>
    <w:rsid w:val="004B57BD"/>
    <w:rsid w:val="004C0A09"/>
    <w:rsid w:val="004C3593"/>
    <w:rsid w:val="004C4B95"/>
    <w:rsid w:val="004E0E4F"/>
    <w:rsid w:val="004E35E6"/>
    <w:rsid w:val="004E69C0"/>
    <w:rsid w:val="004F5031"/>
    <w:rsid w:val="004F5B5E"/>
    <w:rsid w:val="004F5E11"/>
    <w:rsid w:val="005005EE"/>
    <w:rsid w:val="0050155A"/>
    <w:rsid w:val="005122CF"/>
    <w:rsid w:val="00522627"/>
    <w:rsid w:val="00522D0E"/>
    <w:rsid w:val="0053161F"/>
    <w:rsid w:val="00533689"/>
    <w:rsid w:val="00533752"/>
    <w:rsid w:val="00533BFD"/>
    <w:rsid w:val="00535990"/>
    <w:rsid w:val="005410E0"/>
    <w:rsid w:val="005445AE"/>
    <w:rsid w:val="00545D9C"/>
    <w:rsid w:val="00557FE9"/>
    <w:rsid w:val="00563A66"/>
    <w:rsid w:val="00563E91"/>
    <w:rsid w:val="00564A69"/>
    <w:rsid w:val="00571EB8"/>
    <w:rsid w:val="00572E41"/>
    <w:rsid w:val="00577133"/>
    <w:rsid w:val="005776B8"/>
    <w:rsid w:val="00583907"/>
    <w:rsid w:val="00583C98"/>
    <w:rsid w:val="00585FDF"/>
    <w:rsid w:val="00591490"/>
    <w:rsid w:val="00595934"/>
    <w:rsid w:val="005A1230"/>
    <w:rsid w:val="005A499E"/>
    <w:rsid w:val="005B2999"/>
    <w:rsid w:val="005B2C43"/>
    <w:rsid w:val="005B2CDE"/>
    <w:rsid w:val="005B4583"/>
    <w:rsid w:val="005B48B7"/>
    <w:rsid w:val="005B6343"/>
    <w:rsid w:val="005C03B1"/>
    <w:rsid w:val="005C18D6"/>
    <w:rsid w:val="005C2CE9"/>
    <w:rsid w:val="005C5A23"/>
    <w:rsid w:val="005C691C"/>
    <w:rsid w:val="005D38E1"/>
    <w:rsid w:val="005D60C6"/>
    <w:rsid w:val="005E3815"/>
    <w:rsid w:val="005E7392"/>
    <w:rsid w:val="005E7C70"/>
    <w:rsid w:val="005F0F43"/>
    <w:rsid w:val="005F692F"/>
    <w:rsid w:val="0060123B"/>
    <w:rsid w:val="006030A0"/>
    <w:rsid w:val="006056A2"/>
    <w:rsid w:val="00605983"/>
    <w:rsid w:val="006113D0"/>
    <w:rsid w:val="00614224"/>
    <w:rsid w:val="0061526E"/>
    <w:rsid w:val="00617DC9"/>
    <w:rsid w:val="00627F58"/>
    <w:rsid w:val="00630612"/>
    <w:rsid w:val="00632746"/>
    <w:rsid w:val="00634F9C"/>
    <w:rsid w:val="006356E0"/>
    <w:rsid w:val="00640B79"/>
    <w:rsid w:val="00643BF7"/>
    <w:rsid w:val="00644159"/>
    <w:rsid w:val="00647F2E"/>
    <w:rsid w:val="0065225A"/>
    <w:rsid w:val="00655050"/>
    <w:rsid w:val="006552B0"/>
    <w:rsid w:val="00656077"/>
    <w:rsid w:val="006570C8"/>
    <w:rsid w:val="006618D7"/>
    <w:rsid w:val="006647F9"/>
    <w:rsid w:val="006704A1"/>
    <w:rsid w:val="00675473"/>
    <w:rsid w:val="00675A88"/>
    <w:rsid w:val="00675EF9"/>
    <w:rsid w:val="00677B58"/>
    <w:rsid w:val="00680AFD"/>
    <w:rsid w:val="006847AE"/>
    <w:rsid w:val="00685C16"/>
    <w:rsid w:val="00687089"/>
    <w:rsid w:val="00687BBF"/>
    <w:rsid w:val="0069251B"/>
    <w:rsid w:val="00693F29"/>
    <w:rsid w:val="00695150"/>
    <w:rsid w:val="006A374F"/>
    <w:rsid w:val="006A3AED"/>
    <w:rsid w:val="006A4E1D"/>
    <w:rsid w:val="006A7B12"/>
    <w:rsid w:val="006B2EB4"/>
    <w:rsid w:val="006B34CA"/>
    <w:rsid w:val="006B414A"/>
    <w:rsid w:val="006B4AF4"/>
    <w:rsid w:val="006B6568"/>
    <w:rsid w:val="006B672C"/>
    <w:rsid w:val="006B6E96"/>
    <w:rsid w:val="006C2D06"/>
    <w:rsid w:val="006C4C47"/>
    <w:rsid w:val="006D70EC"/>
    <w:rsid w:val="006E1B69"/>
    <w:rsid w:val="006E2A55"/>
    <w:rsid w:val="006E2CAB"/>
    <w:rsid w:val="006E3233"/>
    <w:rsid w:val="006E37DA"/>
    <w:rsid w:val="006F01BB"/>
    <w:rsid w:val="006F4D14"/>
    <w:rsid w:val="00701003"/>
    <w:rsid w:val="0070283E"/>
    <w:rsid w:val="0070435C"/>
    <w:rsid w:val="00705D56"/>
    <w:rsid w:val="00710AFD"/>
    <w:rsid w:val="00720075"/>
    <w:rsid w:val="007229E5"/>
    <w:rsid w:val="00726235"/>
    <w:rsid w:val="007311DA"/>
    <w:rsid w:val="007312A2"/>
    <w:rsid w:val="00731616"/>
    <w:rsid w:val="00732218"/>
    <w:rsid w:val="00733B6C"/>
    <w:rsid w:val="00734D77"/>
    <w:rsid w:val="00740B6C"/>
    <w:rsid w:val="007410D9"/>
    <w:rsid w:val="00742677"/>
    <w:rsid w:val="007455DC"/>
    <w:rsid w:val="00746929"/>
    <w:rsid w:val="0075025F"/>
    <w:rsid w:val="00752BA0"/>
    <w:rsid w:val="00752EBE"/>
    <w:rsid w:val="0075354B"/>
    <w:rsid w:val="00755BC5"/>
    <w:rsid w:val="00757BF6"/>
    <w:rsid w:val="00757C2A"/>
    <w:rsid w:val="0076189D"/>
    <w:rsid w:val="00761A82"/>
    <w:rsid w:val="00775382"/>
    <w:rsid w:val="00776930"/>
    <w:rsid w:val="007770E9"/>
    <w:rsid w:val="00780C91"/>
    <w:rsid w:val="0078229C"/>
    <w:rsid w:val="0078372D"/>
    <w:rsid w:val="00785881"/>
    <w:rsid w:val="00787636"/>
    <w:rsid w:val="0079210A"/>
    <w:rsid w:val="00792177"/>
    <w:rsid w:val="00793397"/>
    <w:rsid w:val="00793632"/>
    <w:rsid w:val="00793810"/>
    <w:rsid w:val="0079438F"/>
    <w:rsid w:val="00797E90"/>
    <w:rsid w:val="007A049E"/>
    <w:rsid w:val="007A2E8B"/>
    <w:rsid w:val="007A3415"/>
    <w:rsid w:val="007A3C5D"/>
    <w:rsid w:val="007A61BC"/>
    <w:rsid w:val="007A6B0D"/>
    <w:rsid w:val="007B0168"/>
    <w:rsid w:val="007B51E5"/>
    <w:rsid w:val="007B660B"/>
    <w:rsid w:val="007C1716"/>
    <w:rsid w:val="007C5502"/>
    <w:rsid w:val="007E0BCA"/>
    <w:rsid w:val="007E2349"/>
    <w:rsid w:val="007E631B"/>
    <w:rsid w:val="007E796A"/>
    <w:rsid w:val="007F0616"/>
    <w:rsid w:val="007F1AC2"/>
    <w:rsid w:val="00801AD6"/>
    <w:rsid w:val="008048C6"/>
    <w:rsid w:val="0080583B"/>
    <w:rsid w:val="00806AE3"/>
    <w:rsid w:val="00812576"/>
    <w:rsid w:val="00812B27"/>
    <w:rsid w:val="008131E9"/>
    <w:rsid w:val="008143E6"/>
    <w:rsid w:val="00816933"/>
    <w:rsid w:val="008231DB"/>
    <w:rsid w:val="00823519"/>
    <w:rsid w:val="00823AF5"/>
    <w:rsid w:val="00824568"/>
    <w:rsid w:val="008249E7"/>
    <w:rsid w:val="00830FBB"/>
    <w:rsid w:val="0083342C"/>
    <w:rsid w:val="00845276"/>
    <w:rsid w:val="008470E0"/>
    <w:rsid w:val="00851B8D"/>
    <w:rsid w:val="008533DA"/>
    <w:rsid w:val="008555B2"/>
    <w:rsid w:val="008556F8"/>
    <w:rsid w:val="008615DC"/>
    <w:rsid w:val="00861E70"/>
    <w:rsid w:val="008653FD"/>
    <w:rsid w:val="008655C8"/>
    <w:rsid w:val="00867FF2"/>
    <w:rsid w:val="00872E35"/>
    <w:rsid w:val="00875D21"/>
    <w:rsid w:val="0087717F"/>
    <w:rsid w:val="00881332"/>
    <w:rsid w:val="00882979"/>
    <w:rsid w:val="00883E33"/>
    <w:rsid w:val="0089275C"/>
    <w:rsid w:val="008A55BB"/>
    <w:rsid w:val="008A7584"/>
    <w:rsid w:val="008B4DA5"/>
    <w:rsid w:val="008B62AA"/>
    <w:rsid w:val="008B7F69"/>
    <w:rsid w:val="008C075D"/>
    <w:rsid w:val="008C2F71"/>
    <w:rsid w:val="008C3621"/>
    <w:rsid w:val="008C3D17"/>
    <w:rsid w:val="008C7D47"/>
    <w:rsid w:val="008D15C4"/>
    <w:rsid w:val="008D2489"/>
    <w:rsid w:val="008D3CFC"/>
    <w:rsid w:val="008D6DC2"/>
    <w:rsid w:val="008D746A"/>
    <w:rsid w:val="008E4C7E"/>
    <w:rsid w:val="008E4E17"/>
    <w:rsid w:val="008F0969"/>
    <w:rsid w:val="008F165E"/>
    <w:rsid w:val="008F3F87"/>
    <w:rsid w:val="008F5ABA"/>
    <w:rsid w:val="008F5F56"/>
    <w:rsid w:val="008F7F49"/>
    <w:rsid w:val="00903E73"/>
    <w:rsid w:val="00905529"/>
    <w:rsid w:val="00905C90"/>
    <w:rsid w:val="00911047"/>
    <w:rsid w:val="0091520F"/>
    <w:rsid w:val="00915635"/>
    <w:rsid w:val="009219D8"/>
    <w:rsid w:val="00922BD2"/>
    <w:rsid w:val="00923540"/>
    <w:rsid w:val="00932F4F"/>
    <w:rsid w:val="00934367"/>
    <w:rsid w:val="009355B6"/>
    <w:rsid w:val="00936825"/>
    <w:rsid w:val="00936B8C"/>
    <w:rsid w:val="00952F24"/>
    <w:rsid w:val="00953556"/>
    <w:rsid w:val="0095362F"/>
    <w:rsid w:val="00954F38"/>
    <w:rsid w:val="009568BC"/>
    <w:rsid w:val="009575DF"/>
    <w:rsid w:val="00957952"/>
    <w:rsid w:val="00957CAC"/>
    <w:rsid w:val="009625C0"/>
    <w:rsid w:val="009651BA"/>
    <w:rsid w:val="00967768"/>
    <w:rsid w:val="00970B6A"/>
    <w:rsid w:val="00972281"/>
    <w:rsid w:val="00976EF3"/>
    <w:rsid w:val="00981024"/>
    <w:rsid w:val="00982AA6"/>
    <w:rsid w:val="00982BCC"/>
    <w:rsid w:val="00986A53"/>
    <w:rsid w:val="009924EB"/>
    <w:rsid w:val="009928DF"/>
    <w:rsid w:val="00993642"/>
    <w:rsid w:val="00997356"/>
    <w:rsid w:val="00997975"/>
    <w:rsid w:val="009A0A95"/>
    <w:rsid w:val="009A3528"/>
    <w:rsid w:val="009A4A2B"/>
    <w:rsid w:val="009A4C8C"/>
    <w:rsid w:val="009A4E45"/>
    <w:rsid w:val="009A6786"/>
    <w:rsid w:val="009B0EB2"/>
    <w:rsid w:val="009B20E4"/>
    <w:rsid w:val="009C0AD6"/>
    <w:rsid w:val="009C325D"/>
    <w:rsid w:val="009C6D7C"/>
    <w:rsid w:val="009D50F3"/>
    <w:rsid w:val="009D69D9"/>
    <w:rsid w:val="009E0D43"/>
    <w:rsid w:val="009E0F77"/>
    <w:rsid w:val="009E41FE"/>
    <w:rsid w:val="009E5D2A"/>
    <w:rsid w:val="009E5EBE"/>
    <w:rsid w:val="009E612E"/>
    <w:rsid w:val="009F2AA4"/>
    <w:rsid w:val="00A04909"/>
    <w:rsid w:val="00A05C07"/>
    <w:rsid w:val="00A07536"/>
    <w:rsid w:val="00A11344"/>
    <w:rsid w:val="00A11E80"/>
    <w:rsid w:val="00A12A4B"/>
    <w:rsid w:val="00A14D00"/>
    <w:rsid w:val="00A14E8A"/>
    <w:rsid w:val="00A226CA"/>
    <w:rsid w:val="00A31191"/>
    <w:rsid w:val="00A341FA"/>
    <w:rsid w:val="00A375E3"/>
    <w:rsid w:val="00A40B7F"/>
    <w:rsid w:val="00A50432"/>
    <w:rsid w:val="00A53DF4"/>
    <w:rsid w:val="00A677D1"/>
    <w:rsid w:val="00A7068D"/>
    <w:rsid w:val="00A74766"/>
    <w:rsid w:val="00A76838"/>
    <w:rsid w:val="00A814FE"/>
    <w:rsid w:val="00A86CAB"/>
    <w:rsid w:val="00A876FE"/>
    <w:rsid w:val="00A93D6D"/>
    <w:rsid w:val="00AB3E06"/>
    <w:rsid w:val="00AB41D9"/>
    <w:rsid w:val="00AC0EF6"/>
    <w:rsid w:val="00AC2860"/>
    <w:rsid w:val="00AC767E"/>
    <w:rsid w:val="00AC7AB8"/>
    <w:rsid w:val="00AD2D5F"/>
    <w:rsid w:val="00AD43E4"/>
    <w:rsid w:val="00AD75CE"/>
    <w:rsid w:val="00AE432A"/>
    <w:rsid w:val="00AE721F"/>
    <w:rsid w:val="00AF244D"/>
    <w:rsid w:val="00AF4519"/>
    <w:rsid w:val="00AF4730"/>
    <w:rsid w:val="00AF5BD2"/>
    <w:rsid w:val="00B001BB"/>
    <w:rsid w:val="00B00EC9"/>
    <w:rsid w:val="00B019E0"/>
    <w:rsid w:val="00B02B76"/>
    <w:rsid w:val="00B10269"/>
    <w:rsid w:val="00B14886"/>
    <w:rsid w:val="00B225E4"/>
    <w:rsid w:val="00B234FA"/>
    <w:rsid w:val="00B24B9C"/>
    <w:rsid w:val="00B25BDD"/>
    <w:rsid w:val="00B26543"/>
    <w:rsid w:val="00B32819"/>
    <w:rsid w:val="00B3286B"/>
    <w:rsid w:val="00B34131"/>
    <w:rsid w:val="00B3593B"/>
    <w:rsid w:val="00B35A16"/>
    <w:rsid w:val="00B360E5"/>
    <w:rsid w:val="00B43C3E"/>
    <w:rsid w:val="00B43E3E"/>
    <w:rsid w:val="00B43EC5"/>
    <w:rsid w:val="00B452CF"/>
    <w:rsid w:val="00B458E5"/>
    <w:rsid w:val="00B46869"/>
    <w:rsid w:val="00B52F9B"/>
    <w:rsid w:val="00B6168F"/>
    <w:rsid w:val="00B65792"/>
    <w:rsid w:val="00B67D11"/>
    <w:rsid w:val="00B75DC8"/>
    <w:rsid w:val="00B76103"/>
    <w:rsid w:val="00B80DA4"/>
    <w:rsid w:val="00B92AD4"/>
    <w:rsid w:val="00B938ED"/>
    <w:rsid w:val="00B93FCF"/>
    <w:rsid w:val="00B979DF"/>
    <w:rsid w:val="00BA0B2C"/>
    <w:rsid w:val="00BA1C74"/>
    <w:rsid w:val="00BA2431"/>
    <w:rsid w:val="00BA3B0B"/>
    <w:rsid w:val="00BA609E"/>
    <w:rsid w:val="00BB0BDD"/>
    <w:rsid w:val="00BC11EE"/>
    <w:rsid w:val="00BC449D"/>
    <w:rsid w:val="00BC465A"/>
    <w:rsid w:val="00BC4B1E"/>
    <w:rsid w:val="00BC6BD2"/>
    <w:rsid w:val="00BC72C3"/>
    <w:rsid w:val="00BD1E32"/>
    <w:rsid w:val="00BD4A53"/>
    <w:rsid w:val="00BD714E"/>
    <w:rsid w:val="00BD723B"/>
    <w:rsid w:val="00BD779C"/>
    <w:rsid w:val="00BE10F9"/>
    <w:rsid w:val="00BF3572"/>
    <w:rsid w:val="00BF3B33"/>
    <w:rsid w:val="00BF5D22"/>
    <w:rsid w:val="00BF6492"/>
    <w:rsid w:val="00C00212"/>
    <w:rsid w:val="00C00FC3"/>
    <w:rsid w:val="00C04C8B"/>
    <w:rsid w:val="00C11256"/>
    <w:rsid w:val="00C12F81"/>
    <w:rsid w:val="00C14C02"/>
    <w:rsid w:val="00C17B61"/>
    <w:rsid w:val="00C21CD2"/>
    <w:rsid w:val="00C25CD5"/>
    <w:rsid w:val="00C25E01"/>
    <w:rsid w:val="00C26921"/>
    <w:rsid w:val="00C36B49"/>
    <w:rsid w:val="00C37B9C"/>
    <w:rsid w:val="00C40654"/>
    <w:rsid w:val="00C418C5"/>
    <w:rsid w:val="00C42654"/>
    <w:rsid w:val="00C4295F"/>
    <w:rsid w:val="00C42B0F"/>
    <w:rsid w:val="00C45410"/>
    <w:rsid w:val="00C465B4"/>
    <w:rsid w:val="00C46B18"/>
    <w:rsid w:val="00C51A5E"/>
    <w:rsid w:val="00C60643"/>
    <w:rsid w:val="00C61C6A"/>
    <w:rsid w:val="00C62606"/>
    <w:rsid w:val="00C64AF2"/>
    <w:rsid w:val="00C75009"/>
    <w:rsid w:val="00C8022E"/>
    <w:rsid w:val="00C822B4"/>
    <w:rsid w:val="00C86ECE"/>
    <w:rsid w:val="00C87579"/>
    <w:rsid w:val="00C87AA4"/>
    <w:rsid w:val="00C90A10"/>
    <w:rsid w:val="00C95C97"/>
    <w:rsid w:val="00C97F41"/>
    <w:rsid w:val="00CA0D5D"/>
    <w:rsid w:val="00CA267C"/>
    <w:rsid w:val="00CA29A8"/>
    <w:rsid w:val="00CA301B"/>
    <w:rsid w:val="00CA3275"/>
    <w:rsid w:val="00CB0612"/>
    <w:rsid w:val="00CB4DE9"/>
    <w:rsid w:val="00CB715C"/>
    <w:rsid w:val="00CB7A6A"/>
    <w:rsid w:val="00CC2237"/>
    <w:rsid w:val="00CC33B5"/>
    <w:rsid w:val="00CC548D"/>
    <w:rsid w:val="00CC6CBB"/>
    <w:rsid w:val="00CD3949"/>
    <w:rsid w:val="00CE133B"/>
    <w:rsid w:val="00CE17A1"/>
    <w:rsid w:val="00CE7354"/>
    <w:rsid w:val="00CF2B8C"/>
    <w:rsid w:val="00CF32B6"/>
    <w:rsid w:val="00D010E4"/>
    <w:rsid w:val="00D06B65"/>
    <w:rsid w:val="00D109C1"/>
    <w:rsid w:val="00D12310"/>
    <w:rsid w:val="00D1430E"/>
    <w:rsid w:val="00D15ECD"/>
    <w:rsid w:val="00D16846"/>
    <w:rsid w:val="00D23893"/>
    <w:rsid w:val="00D25D0E"/>
    <w:rsid w:val="00D3098D"/>
    <w:rsid w:val="00D37BBC"/>
    <w:rsid w:val="00D406A6"/>
    <w:rsid w:val="00D426A9"/>
    <w:rsid w:val="00D436CB"/>
    <w:rsid w:val="00D447F3"/>
    <w:rsid w:val="00D44975"/>
    <w:rsid w:val="00D46F1D"/>
    <w:rsid w:val="00D47A1C"/>
    <w:rsid w:val="00D5442E"/>
    <w:rsid w:val="00D563CB"/>
    <w:rsid w:val="00D607A8"/>
    <w:rsid w:val="00D6234E"/>
    <w:rsid w:val="00D629EC"/>
    <w:rsid w:val="00D751FC"/>
    <w:rsid w:val="00D754EA"/>
    <w:rsid w:val="00D76491"/>
    <w:rsid w:val="00D76CAE"/>
    <w:rsid w:val="00D802AA"/>
    <w:rsid w:val="00D854B9"/>
    <w:rsid w:val="00D877BF"/>
    <w:rsid w:val="00D9451D"/>
    <w:rsid w:val="00DA0CFA"/>
    <w:rsid w:val="00DA411E"/>
    <w:rsid w:val="00DA5EAF"/>
    <w:rsid w:val="00DA68A9"/>
    <w:rsid w:val="00DA759D"/>
    <w:rsid w:val="00DB0C89"/>
    <w:rsid w:val="00DB1FB4"/>
    <w:rsid w:val="00DB240D"/>
    <w:rsid w:val="00DB4003"/>
    <w:rsid w:val="00DB4DA1"/>
    <w:rsid w:val="00DB6EE5"/>
    <w:rsid w:val="00DC3FC4"/>
    <w:rsid w:val="00DD203B"/>
    <w:rsid w:val="00DD4A09"/>
    <w:rsid w:val="00DD6612"/>
    <w:rsid w:val="00DD6971"/>
    <w:rsid w:val="00DE1395"/>
    <w:rsid w:val="00DE20CB"/>
    <w:rsid w:val="00DF3F27"/>
    <w:rsid w:val="00DF47BC"/>
    <w:rsid w:val="00DF6FEE"/>
    <w:rsid w:val="00E05B6A"/>
    <w:rsid w:val="00E12612"/>
    <w:rsid w:val="00E12FB0"/>
    <w:rsid w:val="00E16B46"/>
    <w:rsid w:val="00E23D86"/>
    <w:rsid w:val="00E25681"/>
    <w:rsid w:val="00E263E8"/>
    <w:rsid w:val="00E30FF0"/>
    <w:rsid w:val="00E37318"/>
    <w:rsid w:val="00E37BA2"/>
    <w:rsid w:val="00E46805"/>
    <w:rsid w:val="00E50188"/>
    <w:rsid w:val="00E504E2"/>
    <w:rsid w:val="00E54240"/>
    <w:rsid w:val="00E54EFB"/>
    <w:rsid w:val="00E56984"/>
    <w:rsid w:val="00E70E8C"/>
    <w:rsid w:val="00E715B7"/>
    <w:rsid w:val="00E74E00"/>
    <w:rsid w:val="00E76DDF"/>
    <w:rsid w:val="00E8041F"/>
    <w:rsid w:val="00E8325D"/>
    <w:rsid w:val="00E832E6"/>
    <w:rsid w:val="00E90F5B"/>
    <w:rsid w:val="00E926FE"/>
    <w:rsid w:val="00E95DCC"/>
    <w:rsid w:val="00E96FC0"/>
    <w:rsid w:val="00EA0894"/>
    <w:rsid w:val="00EA5197"/>
    <w:rsid w:val="00EA62F0"/>
    <w:rsid w:val="00EA6E3D"/>
    <w:rsid w:val="00EB1673"/>
    <w:rsid w:val="00EC0E78"/>
    <w:rsid w:val="00EC3880"/>
    <w:rsid w:val="00EC5D29"/>
    <w:rsid w:val="00ED171A"/>
    <w:rsid w:val="00ED2EA9"/>
    <w:rsid w:val="00EE0A5C"/>
    <w:rsid w:val="00EE0E17"/>
    <w:rsid w:val="00EE0EA2"/>
    <w:rsid w:val="00EE2D59"/>
    <w:rsid w:val="00EE63E0"/>
    <w:rsid w:val="00EF0AE2"/>
    <w:rsid w:val="00EF114D"/>
    <w:rsid w:val="00EF1A9E"/>
    <w:rsid w:val="00F0056C"/>
    <w:rsid w:val="00F00DBF"/>
    <w:rsid w:val="00F04D3A"/>
    <w:rsid w:val="00F04FAB"/>
    <w:rsid w:val="00F070F4"/>
    <w:rsid w:val="00F25351"/>
    <w:rsid w:val="00F25A34"/>
    <w:rsid w:val="00F25B1B"/>
    <w:rsid w:val="00F25BC6"/>
    <w:rsid w:val="00F31A21"/>
    <w:rsid w:val="00F37FBA"/>
    <w:rsid w:val="00F40505"/>
    <w:rsid w:val="00F409F0"/>
    <w:rsid w:val="00F41A87"/>
    <w:rsid w:val="00F42888"/>
    <w:rsid w:val="00F428C5"/>
    <w:rsid w:val="00F43031"/>
    <w:rsid w:val="00F453B8"/>
    <w:rsid w:val="00F521C5"/>
    <w:rsid w:val="00F528DF"/>
    <w:rsid w:val="00F54DF1"/>
    <w:rsid w:val="00F5531B"/>
    <w:rsid w:val="00F56B40"/>
    <w:rsid w:val="00F701FC"/>
    <w:rsid w:val="00F74302"/>
    <w:rsid w:val="00F75EAD"/>
    <w:rsid w:val="00F77293"/>
    <w:rsid w:val="00F777CC"/>
    <w:rsid w:val="00F83EEC"/>
    <w:rsid w:val="00F867EB"/>
    <w:rsid w:val="00F8683A"/>
    <w:rsid w:val="00F86A92"/>
    <w:rsid w:val="00F876EA"/>
    <w:rsid w:val="00F93492"/>
    <w:rsid w:val="00F972EA"/>
    <w:rsid w:val="00FA292D"/>
    <w:rsid w:val="00FA3484"/>
    <w:rsid w:val="00FA3602"/>
    <w:rsid w:val="00FA652B"/>
    <w:rsid w:val="00FA7C1C"/>
    <w:rsid w:val="00FA7E84"/>
    <w:rsid w:val="00FB099E"/>
    <w:rsid w:val="00FB3465"/>
    <w:rsid w:val="00FC13F8"/>
    <w:rsid w:val="00FC23E1"/>
    <w:rsid w:val="00FC2A6D"/>
    <w:rsid w:val="00FC3B93"/>
    <w:rsid w:val="00FC7D7A"/>
    <w:rsid w:val="00FD0BD2"/>
    <w:rsid w:val="00FD283C"/>
    <w:rsid w:val="00FD60F0"/>
    <w:rsid w:val="00FD6504"/>
    <w:rsid w:val="00FD66E3"/>
    <w:rsid w:val="00FE0BF1"/>
    <w:rsid w:val="00FE4382"/>
    <w:rsid w:val="00FE5CB3"/>
    <w:rsid w:val="00FE74CD"/>
    <w:rsid w:val="00FE7821"/>
    <w:rsid w:val="00FF00AF"/>
    <w:rsid w:val="00FF0E51"/>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3DF59"/>
  <w15:chartTrackingRefBased/>
  <w15:docId w15:val="{EBD6B0BD-02B1-487E-8489-5574EF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uiPriority w:val="9"/>
    <w:qFormat/>
    <w:rsid w:val="000A7858"/>
    <w:pPr>
      <w:numPr>
        <w:numId w:val="38"/>
      </w:numPr>
      <w:spacing w:before="480" w:after="120" w:line="264" w:lineRule="auto"/>
      <w:outlineLvl w:val="0"/>
    </w:pPr>
    <w:rPr>
      <w:rFonts w:ascii="Arial" w:eastAsiaTheme="majorEastAsia" w:hAnsi="Arial" w:cstheme="majorBidi"/>
      <w:b/>
      <w:caps/>
      <w:color w:val="2B3A57"/>
      <w:spacing w:val="0"/>
      <w:sz w:val="48"/>
      <w:szCs w:val="72"/>
    </w:rPr>
  </w:style>
  <w:style w:type="paragraph" w:styleId="Heading2">
    <w:name w:val="heading 2"/>
    <w:basedOn w:val="Heading1"/>
    <w:next w:val="Normal"/>
    <w:link w:val="Heading2Char"/>
    <w:uiPriority w:val="9"/>
    <w:unhideWhenUsed/>
    <w:qFormat/>
    <w:rsid w:val="000A7858"/>
    <w:pPr>
      <w:numPr>
        <w:ilvl w:val="1"/>
      </w:numPr>
      <w:spacing w:before="360" w:after="80"/>
      <w:outlineLvl w:val="1"/>
    </w:pPr>
    <w:rPr>
      <w:rFonts w:cs="Arial" w:ascii="Arial" w:hAnsi="Arial"/>
      <w:b/>
      <w:caps w:val="0"/>
      <w:color w:val="057299"/>
      <w:sz w:val="26"/>
      <w:szCs w:val="22"/>
    </w:rPr>
  </w:style>
  <w:style w:type="paragraph" w:styleId="Heading3">
    <w:name w:val="heading 3"/>
    <w:basedOn w:val="Normal"/>
    <w:next w:val="Normal"/>
    <w:link w:val="Heading3Char"/>
    <w:uiPriority w:val="9"/>
    <w:unhideWhenUsed/>
    <w:qFormat/>
    <w:rsid w:val="000A7858"/>
    <w:pPr>
      <w:numPr>
        <w:ilvl w:val="2"/>
        <w:numId w:val="38"/>
      </w:numPr>
      <w:spacing w:before="240" w:after="60"/>
      <w:outlineLvl w:val="2"/>
    </w:pPr>
    <w:rPr>
      <w:rFonts w:ascii="Arial" w:eastAsiaTheme="majorEastAsia" w:hAnsi="Arial" w:cs="Arial"/>
      <w:b/>
      <w:color w:val="0685B2"/>
      <w:spacing w:val="0"/>
      <w:sz w:val="22"/>
    </w:rPr>
  </w:style>
  <w:style w:type="paragraph" w:styleId="Heading4">
    <w:name w:val="heading 4"/>
    <w:basedOn w:val="Heading3"/>
    <w:next w:val="Normal"/>
    <w:link w:val="Heading4Char"/>
    <w:uiPriority w:val="9"/>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iPriority w:val="9"/>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iPriority w:val="9"/>
    <w:unhideWhenUsed/>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iPriority w:val="9"/>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iPriority w:val="9"/>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qFormat/>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52945"/>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06AE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31"/>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link w:val="FootnoteTextChar"/>
    <w:uiPriority w:val="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basedOn w:val="DefaultParagraphFont"/>
    <w:link w:val="FootnoteText"/>
    <w:uiPriority w:val="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semiHidden/>
    <w:unhideWhenUsed/>
    <w:rsid w:val="00C25CD5"/>
    <w:rPr>
      <w:sz w:val="16"/>
      <w:szCs w:val="16"/>
    </w:rPr>
  </w:style>
  <w:style w:type="paragraph" w:styleId="CommentText">
    <w:name w:val="annotation text"/>
    <w:basedOn w:val="Normal"/>
    <w:link w:val="CommentTextChar"/>
    <w:semiHidden/>
    <w:unhideWhenUsed/>
    <w:rsid w:val="00C25CD5"/>
    <w:pPr>
      <w:spacing w:before="180" w:after="180" w:line="240" w:lineRule="auto"/>
    </w:pPr>
    <w:rPr>
      <w:szCs w:val="20"/>
    </w:rPr>
  </w:style>
  <w:style w:type="character" w:customStyle="1" w:styleId="CommentTextChar">
    <w:name w:val="Comment Text Char"/>
    <w:basedOn w:val="DefaultParagraphFont"/>
    <w:link w:val="CommentText"/>
    <w:semiHidden/>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semiHidden/>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6B672C"/>
    <w:pPr>
      <w:spacing w:before="120" w:after="0"/>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6B672C"/>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5E3815"/>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autoRedefine/>
    <w:uiPriority w:val="5"/>
    <w:rsid w:val="00340A18"/>
    <w:pPr>
      <w:numPr>
        <w:numId w:val="3"/>
      </w:numPr>
      <w:spacing w:before="120" w:after="0"/>
    </w:pPr>
    <w:rPr>
      <w:color w:val="4F5150" w:themeColor="text2"/>
      <w14:textFill>
        <w14:solidFill>
          <w14:schemeClr w14:val="tx2">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2"/>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2"/>
      </w:numPr>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34"/>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stats.un.org/sdgs/meta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8"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ilo.org/dyn/normlex/en/f?p=NORMLEXPUB:12100:::NO:12100:P12100_ILO_CODE:C182:NO" TargetMode="External"/><Relationship Id="rId3" Type="http://schemas.openxmlformats.org/officeDocument/2006/relationships/hyperlink" Target="http://www.ilo.org/dyn/normlex/en/f?p=NORMLEXPUB:12100:::NO:12100:P12100_ILO_CODE:C098:NO" TargetMode="External"/><Relationship Id="rId7" Type="http://schemas.openxmlformats.org/officeDocument/2006/relationships/hyperlink" Target="http://www.ilo.org/dyn/normlex/en/f?p=NORMLEXPUB:12100:::NO:12100:P12100_ILO_CODE:C138:NO" TargetMode="External"/><Relationship Id="rId2" Type="http://schemas.openxmlformats.org/officeDocument/2006/relationships/hyperlink" Target="http://www.ilo.org/dyn/normlex/en/f?p=NORMLEXPUB:12100:::NO:12100:P12100_ILO_CODE:C087:NO" TargetMode="External"/><Relationship Id="rId1" Type="http://schemas.openxmlformats.org/officeDocument/2006/relationships/hyperlink" Target="http://www.ilo.org/dyn/normlex/en/f?p=NORMLEXPUB:12100:0::NO::P12100_ILO_CODE:C029" TargetMode="External"/><Relationship Id="rId6" Type="http://schemas.openxmlformats.org/officeDocument/2006/relationships/hyperlink" Target="http://www.ilo.org/dyn/normlex/en/f?p=NORMLEXPUB:12100:::NO:12100:P12100_ILO_CODE:C111:NO" TargetMode="External"/><Relationship Id="rId5" Type="http://schemas.openxmlformats.org/officeDocument/2006/relationships/hyperlink" Target="http://www.ilo.org/dyn/normlex/en/f?p=NORMLEXPUB:12100:::NO:12100:P12100_ILO_CODE:C105:NO" TargetMode="External"/><Relationship Id="rId4" Type="http://schemas.openxmlformats.org/officeDocument/2006/relationships/hyperlink" Target="http://www.ilo.org/dyn/normlex/en/f?p=NORMLEXPUB:12100:::NO:12100:P12100_ILO_CODE:C098:NOhttp://www.ilo.org/dyn/normlex/en/f?p=NORMLEXPUB:12100:::NO:12100:P12100_ILO_CODE:C100: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4613-D972-45F3-AB79-54E02D9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0</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Verra</dc:creator>
  <cp:keywords/>
  <dc:description/>
  <cp:lastModifiedBy>Julianne Baroody</cp:lastModifiedBy>
  <cp:revision>38</cp:revision>
  <cp:lastPrinted>2018-06-01T03:39:00Z</cp:lastPrinted>
  <dcterms:created xsi:type="dcterms:W3CDTF">2019-01-17T17:41:00Z</dcterms:created>
  <dcterms:modified xsi:type="dcterms:W3CDTF">2019-02-22T17:06:00Z</dcterms:modified>
</cp:coreProperties>
</file>