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1</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عبر أثير إذاعة القرآن الكريم من دولة الكويت، وأُولى حلقات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ولا شك أيها الإخوة والأخوات أن الاشتغال بالعلم النافع من أعظم القربات وأجلّ الطاعات التي يتقرب بها العبد لله عز وجل، ولا شك أن من أعظم العلوم نفعًا وأجلّها مكانة وقدرًا علمَ الفقه الإسلامي. والفقه الإسلامي يتعلم الإنسان من خلاله أحكام أعمال يومه وليلته، ولكن الفقه الإسلامي مبني على قواعد وضوابط تضبطه؛ فلفضل هذا العلم ولشرفه اهتم العلماء بضبط الفقه، فليس لكل أحد أن يتكلم في الفقه الإسلامي أو ينظر فيه أو يحلّل أو يحرّم حتى يضبط القواعد الفقهية التي ينبني عليها الفقه الإسلامي. فعلم الفقه الإسلامي كغيره من العلوم له أسس وقواعد، لا يُحسنه الإنسان حتى يضبط أصله وقاعدته.</w:t>
      </w:r>
    </w:p>
    <w:p>
      <w:pPr>
        <w:bidi/>
        <w:spacing w:after="200" w:line="360"/>
        <w:jc w:val="both"/>
      </w:pPr>
      <w:r>
        <w:rPr>
          <w:rFonts w:ascii="Traditional Arabic" w:cs="Traditional Arabic" w:eastAsia="Traditional Arabic" w:hAnsi="Traditional Arabic"/>
          <w:sz w:val="32"/>
          <w:szCs w:val="32"/>
          <w:rtl/>
        </w:rPr>
        <w:t xml:space="preserve">وفي ذلك يقول الإمام القرافي رحمه الله تعالى: «ومن ضبط الفقه بقواعده استغنى – أي استغنى بهذا الضبط – عن حفظ أكثر الجزئيات لاندراجها تحت الكليات». ويقول شيخ الإسلام ابن تيمية رحمه الله: «لا بد أن يكون مع الإنسان أصول كلية تُرَدّ إليها الجزئيات، ليتكلم بعلم وعدل، ثم يعرف الجزئيات كيف وقعت، وإلا فيبقى في كذب وجهل في الجزئيات، وجهل وظلم في الكليات، فيتولد من ذلك فساد عظيم».</w:t>
      </w:r>
    </w:p>
    <w:p>
      <w:pPr>
        <w:bidi/>
        <w:spacing w:after="200" w:line="360"/>
        <w:jc w:val="both"/>
      </w:pPr>
      <w:r>
        <w:rPr>
          <w:rFonts w:ascii="Traditional Arabic" w:cs="Traditional Arabic" w:eastAsia="Traditional Arabic" w:hAnsi="Traditional Arabic"/>
          <w:sz w:val="32"/>
          <w:szCs w:val="32"/>
          <w:rtl/>
        </w:rPr>
        <w:t xml:space="preserve">لذلك كان هذا البرنامج لتبيين القواعد والضوابط الفقهية التي ينطلق منها الفقه الإسلامي والتي ينبني عليها؛ فما تكلم إمام من أئمة الفقه في تاريخ الإسلام إلا وهو منطلق في فقهه وفتواه وتأليفه من قواعد الفقه، وإلا لقال من شاء ما شاء، وتجرأ كل متجرئ على الفقه. فبمعرفة القواعد الفقهية يضبط الإنسان العلم، ويعرف ميزة الفقه الإسلامي وأنه علم منضبط، وفيه أيضًا دفاع عن الشريعة الإسلامية، وأن ما قاله مثلًا فلان أو فلان في الفقه الإسلامي إذا كان هذا القول لا يرجع إلى قاعدة فقهية عرفنا خطأ هذا القول.</w:t>
      </w:r>
    </w:p>
    <w:p>
      <w:pPr>
        <w:bidi/>
        <w:spacing w:after="200" w:line="360"/>
        <w:jc w:val="both"/>
      </w:pPr>
      <w:r>
        <w:rPr>
          <w:rFonts w:ascii="Traditional Arabic" w:cs="Traditional Arabic" w:eastAsia="Traditional Arabic" w:hAnsi="Traditional Arabic"/>
          <w:sz w:val="32"/>
          <w:szCs w:val="32"/>
          <w:rtl/>
        </w:rPr>
        <w:t xml:space="preserve">لذا قال المرداوي رحمه الله: «يجب على كل من أراد إحكام علم أن يضبط قواعده؛ ليردّ إليها ما ينتشر من الفروع، ثم يؤكد ذلك بالاستكثار من حفظ الفروع ليرسخ في الذهن، فيتميز على نظائره بحفظ ذلك واستحضاره».</w:t>
      </w:r>
    </w:p>
    <w:p>
      <w:pPr>
        <w:bidi/>
        <w:spacing w:after="200" w:line="360"/>
        <w:jc w:val="both"/>
      </w:pPr>
      <w:r>
        <w:rPr>
          <w:rFonts w:ascii="Traditional Arabic" w:cs="Traditional Arabic" w:eastAsia="Traditional Arabic" w:hAnsi="Traditional Arabic"/>
          <w:sz w:val="32"/>
          <w:szCs w:val="32"/>
          <w:rtl/>
        </w:rPr>
        <w:t xml:space="preserve">وكذلك يقول الإمام القرافي رحمه الله: «وأنت تعلم أن الفقه وإن جلّ إذا كان متفرقًا تبددت حكمته، وقلّت طلاوته، وبعدت عن النفوس، وإذا رأيت الأحكام مخرَّجة على قواعد الشرع، مبنية على مآخذها، نهضت الهمم حينئذ لاقتباسها، وأُعجبت غاية الإعجاب بحكمها وتقمّص لباسها».</w:t>
      </w:r>
    </w:p>
    <w:p>
      <w:pPr>
        <w:bidi/>
        <w:spacing w:after="200" w:line="360"/>
        <w:jc w:val="both"/>
      </w:pPr>
      <w:r>
        <w:rPr>
          <w:rFonts w:ascii="Traditional Arabic" w:cs="Traditional Arabic" w:eastAsia="Traditional Arabic" w:hAnsi="Traditional Arabic"/>
          <w:sz w:val="32"/>
          <w:szCs w:val="32"/>
          <w:rtl/>
        </w:rPr>
        <w:t xml:space="preserve">لذا كانت العناية الكبيرة بالفقه تقعيدًا وتفريعًا من أهم الأمور التي تُصرف إليها الهمم ويُبذل فيها الوقت، والعناية بأصول العلم أعظم وأهم من العناية بفروعه؛ فإن ضبط الأصول يغني عن حفظ كثير من الفروع والجزئيات المتناثرة مما لا تُعدّ ولا تُحصى ومما سيستجد. وبضبط القواعد الفقهية يعرف الفقيه والمجتهد والمفتي حكم ما يستجد من نوازل عظيمة النفع، وبقدر الإحاطة بها يعظم قدر الفقيه ويشرف، وبها يظهر رونق الفقه ويُعرف، وتتضح مناهج الفتوى وتتبين، وبها يُعرف أن الإسلام منضبط بقواعد يرجع إليها.</w:t>
      </w:r>
    </w:p>
    <w:p>
      <w:pPr>
        <w:bidi/>
        <w:spacing w:after="200" w:line="360"/>
        <w:jc w:val="both"/>
      </w:pPr>
      <w:r>
        <w:rPr>
          <w:rFonts w:ascii="Traditional Arabic" w:cs="Traditional Arabic" w:eastAsia="Traditional Arabic" w:hAnsi="Traditional Arabic"/>
          <w:sz w:val="32"/>
          <w:szCs w:val="32"/>
          <w:rtl/>
        </w:rPr>
        <w:t xml:space="preserve">ونجد أن فقيه المالكية الإمام القرافي رحمه الله يقول عن أهمية القواعد الفقهية: «كل فقه لم يُخرَّج على القواعد فليس بشيء».</w:t>
      </w:r>
    </w:p>
    <w:p>
      <w:pPr>
        <w:bidi/>
        <w:spacing w:after="200" w:line="360"/>
        <w:jc w:val="both"/>
      </w:pPr>
      <w:r>
        <w:rPr>
          <w:rFonts w:ascii="Traditional Arabic" w:cs="Traditional Arabic" w:eastAsia="Traditional Arabic" w:hAnsi="Traditional Arabic"/>
          <w:sz w:val="32"/>
          <w:szCs w:val="32"/>
          <w:rtl/>
        </w:rPr>
        <w:t xml:space="preserve">يُستحسن قبل أن نبدأ بالقواعد الفقهية وتعريفها أن نأخذ فكرة عن نشأة القواعد الفقهية: متى نشأت؟ متى ظهرت القواعد الفقهية؟</w:t>
      </w:r>
    </w:p>
    <w:p>
      <w:pPr>
        <w:bidi/>
        <w:spacing w:after="200" w:line="360"/>
        <w:jc w:val="both"/>
      </w:pPr>
      <w:r>
        <w:rPr>
          <w:rFonts w:ascii="Traditional Arabic" w:cs="Traditional Arabic" w:eastAsia="Traditional Arabic" w:hAnsi="Traditional Arabic"/>
          <w:sz w:val="32"/>
          <w:szCs w:val="32"/>
          <w:rtl/>
        </w:rPr>
        <w:t xml:space="preserve">في الحقيقة كانت القواعد الفقهية مصاحبة لنزول القرآن الكريم والسنة النبوية المطهرة، ودلّ على ذلك ما ورد من السنة النبوية وعن الصحابة، وكذلك ما حصل من استنباط التابعين وأتباعهم. فالقواعد الفقهية تسير إلى جنب الفقه في الوجود والنشأة، لا في التدوين طبعًا والتطور.</w:t>
      </w:r>
    </w:p>
    <w:p>
      <w:pPr>
        <w:bidi/>
        <w:spacing w:after="200" w:line="360"/>
        <w:jc w:val="both"/>
      </w:pPr>
      <w:r>
        <w:rPr>
          <w:rFonts w:ascii="Traditional Arabic" w:cs="Traditional Arabic" w:eastAsia="Traditional Arabic" w:hAnsi="Traditional Arabic"/>
          <w:sz w:val="32"/>
          <w:szCs w:val="32"/>
          <w:rtl/>
        </w:rPr>
        <w:t xml:space="preserve">فالقرآن الكريم مشتمل على قواعد عامة وكليات جامعة في قضايا فقهية وأصولية وعقدية وغير ذلك، والنبي عليه الصلاة والسلام كان يقول الكلمة الجامعة، قاعدةً عامة كلية يندرج تحتها عدد من الفروع، وهذا هو حقيقة القاعدة الفقهية. فالقرآن الكريم جاءت في آياته أمثلة لقواعد عامة، كقوله عز وجل: ﴿مَا عَلَى الْمُحْسِنِينَ مِنْ سَبِيلٍ﴾، وقوله عز وجل: ﴿وَمَا جَعَلَ عَلَيْكُمْ فِي الدِّينِ مِنْ حَرَجٍ﴾.</w:t>
      </w:r>
    </w:p>
    <w:p>
      <w:pPr>
        <w:bidi/>
        <w:spacing w:after="200" w:line="360"/>
        <w:jc w:val="both"/>
      </w:pPr>
      <w:r>
        <w:rPr>
          <w:rFonts w:ascii="Traditional Arabic" w:cs="Traditional Arabic" w:eastAsia="Traditional Arabic" w:hAnsi="Traditional Arabic"/>
          <w:sz w:val="32"/>
          <w:szCs w:val="32"/>
          <w:rtl/>
        </w:rPr>
        <w:t xml:space="preserve">وكذلك جاءت في السنة قواعد عامة من قول النبي عليه الصلاة والسلام، كقوله في الحديث العظيم: «إنما الأعمال بالنيات، وإنما لكل امرئ ما نوى»، لذلك قال أهل العلم: هذا الحديث من كنوز العلم. وكذلك قوله عليه الصلاة والسلام: «لا ضرر ولا ضرار»، و«الخراج بالضمان». هذه قواعد فقهية أخذها الفقهاء وفرّعوا عليها تفريعات كثيرة، وهي في الأصل أحاديث نبوية، وهذا كثير من نحو الكلمات الجامعة لمعانٍ كثيرة مع وجازة لفظها وقوته.</w:t>
      </w:r>
    </w:p>
    <w:p>
      <w:pPr>
        <w:bidi/>
        <w:spacing w:after="200" w:line="360"/>
        <w:jc w:val="both"/>
      </w:pPr>
      <w:r>
        <w:rPr>
          <w:rFonts w:ascii="Traditional Arabic" w:cs="Traditional Arabic" w:eastAsia="Traditional Arabic" w:hAnsi="Traditional Arabic"/>
          <w:sz w:val="32"/>
          <w:szCs w:val="32"/>
          <w:rtl/>
        </w:rPr>
        <w:t xml:space="preserve">والصحابة رضي الله عنهم قد ترسّخ في أذهانهم الاعتماد عند الفتوى والنظر في النازلة على هذه الكليات، ويخرّجون أحكامهم عند نزول الحوادث على هذه الكليات وعلى هذه القواعد. وقد وردت عن الصحابة رضي الله عنهم ألفاظ تدل على أن هذه القواعد ثابتة في أذهانهم، يستعينون بها في إصدار الأحكام ومعرفة الحلال من الحرام؛ فمن ذلك قول عمر رضي الله عنه: «مقاطع الحقوق عند الشروط»، ومثل ذلك أيضًا رسالته إلى أبي موسى الأشعري رضي الله عنه التي فيها من الجوامع والفوائد والقواعد العامة، فقوله رضي الله عنه لأبي موسى في رسالة بعثها إليه: «اعرف الأشباه والأمثال، ثم قِس الأمور بعضها ببعض».</w:t>
      </w:r>
    </w:p>
    <w:p>
      <w:pPr>
        <w:bidi/>
        <w:spacing w:after="200" w:line="360"/>
        <w:jc w:val="both"/>
      </w:pPr>
      <w:r>
        <w:rPr>
          <w:rFonts w:ascii="Traditional Arabic" w:cs="Traditional Arabic" w:eastAsia="Traditional Arabic" w:hAnsi="Traditional Arabic"/>
          <w:sz w:val="32"/>
          <w:szCs w:val="32"/>
          <w:rtl/>
        </w:rPr>
        <w:t xml:space="preserve">وكذلك ما جاء عن أبي برزة الأسلمي رضي الله عنه من استعمال القواعد العامة في الحوادث؛ وذلك أن بعض التابعين الذين صاحبوا أبا برزة في سفر نظروا إليه عندما صلى، فانفلتت عليه فرسه، فانطلق وترك الصلاة وتبع الفرس حتى أدركه فأخذه، ثم جاء ثم أعاد صلاته. وكان معهم رجل له رأي، فأقبل يعنّف أبا برزة رضي الله عنه، قال: انظر إلى هذا الشيخ ترك صلاته من أجل فرس! فأقبل عليه أبو برزة فقال: ما عنّفني أحد منذ فارقت رسول الله صلى الله عليه وسلم. وقال: إن منزلي متراخٍ، فلو صليت وتركت الفرس لم آتِ أهلي إلى الليل. وذكر أنه صحب النبي صلى الله عليه وسلم فرأى من تيسيره. وفي رواية قال: إني غزوت مع النبي صلى الله عليه وسلم ست غزوات أو سبع غزوات أو ثماني، وشهدت تيسيره، وإني إن كنت أن أرجع مع دابتي أحبّ إليّ من أن أدعها ترجع إلى مألفها فيشق عليّ. وهذا الأثر خرّجه البخاري في الصحيح.</w:t>
      </w:r>
    </w:p>
    <w:p>
      <w:pPr>
        <w:bidi/>
        <w:spacing w:after="200" w:line="360"/>
        <w:jc w:val="both"/>
      </w:pPr>
      <w:r>
        <w:rPr>
          <w:rFonts w:ascii="Traditional Arabic" w:cs="Traditional Arabic" w:eastAsia="Traditional Arabic" w:hAnsi="Traditional Arabic"/>
          <w:sz w:val="32"/>
          <w:szCs w:val="32"/>
          <w:rtl/>
        </w:rPr>
        <w:t xml:space="preserve">فننظر إلى أن أبا برزة الأسلمي رضي الله عنه استنبط في هذه الحادثة من هدي النبي عليه الصلاة والسلام العام في التيسير، وفهم من حياة النبي عليه الصلاة والسلام أن التيسير ورفع الحرج مقصد من مقاصد الشرع، وطبّقها عمليًا على هذه الحادثة.</w:t>
      </w:r>
    </w:p>
    <w:p>
      <w:pPr>
        <w:bidi/>
        <w:spacing w:after="200" w:line="360"/>
        <w:jc w:val="both"/>
      </w:pPr>
      <w:r>
        <w:rPr>
          <w:rFonts w:ascii="Traditional Arabic" w:cs="Traditional Arabic" w:eastAsia="Traditional Arabic" w:hAnsi="Traditional Arabic"/>
          <w:sz w:val="32"/>
          <w:szCs w:val="32"/>
          <w:rtl/>
        </w:rPr>
        <w:t xml:space="preserve">وكذلك ورد عن التابعين الذين ورثوا هذا المنهج عن الصحابة، وحُفظت عنهم أقوال هي قواعد جامعة وضوابط في فهم الفقه وتطبيقه؛ من ذلك قول شريح القاضي رحمه الله: «من شرط على نفسه طائعًا غير مكره فهو عليه». وهذا يدل على فهمهم للقواعد واستنباطها من عموم نصوص الكتاب والسنة، ثم تطبيق الجزئيات عليها.</w:t>
      </w:r>
    </w:p>
    <w:p>
      <w:pPr>
        <w:bidi/>
        <w:spacing w:after="200" w:line="360"/>
        <w:jc w:val="both"/>
      </w:pPr>
      <w:r>
        <w:rPr>
          <w:rFonts w:ascii="Traditional Arabic" w:cs="Traditional Arabic" w:eastAsia="Traditional Arabic" w:hAnsi="Traditional Arabic"/>
          <w:sz w:val="32"/>
          <w:szCs w:val="32"/>
          <w:rtl/>
        </w:rPr>
        <w:t xml:space="preserve">ثم أخذ الفقهاء رحمهم الله يدوّنون القواعد الفقهية؛ ففي بداية تدوين الفقه كانت بعض الفروع معلَّلة بأن هذا الفرع حكمه كذا للقاعدة كذا، وهذا يُلحظ في كتابات القاضي أبي يوسف رحمه الله صاحب أبي حنيفة، ومحمد بن الحسن الشيباني رحمه الله أيضًا من أصحاب أبي حنيفة والمنتصرين لمذهبه؛ فهؤلاء الأئمة الكبار ألّفوا الفروع الفقهية وقرنوها وعلّلوها بالقواعد. وكذلك الإمام مالك في أجوبته كان يجيب الجواب ويعلله بقاعدة فقهية، والإمام الشافعي رحمه الله، والإمام أحمد في مسائله المروية عنه يذكر الحكم ويعلله ويربطه بقاعدته الفقهية.</w:t>
      </w:r>
    </w:p>
    <w:p>
      <w:pPr>
        <w:bidi/>
        <w:spacing w:after="200" w:line="360"/>
        <w:jc w:val="both"/>
      </w:pPr>
      <w:r>
        <w:rPr>
          <w:rFonts w:ascii="Traditional Arabic" w:cs="Traditional Arabic" w:eastAsia="Traditional Arabic" w:hAnsi="Traditional Arabic"/>
          <w:sz w:val="32"/>
          <w:szCs w:val="32"/>
          <w:rtl/>
        </w:rPr>
        <w:t xml:space="preserve">ولم تزل هذه القواعد مقررة في ذهن الأئمة، يعلّلون بها المسائل التي يُسألون عنها، ويبيّنون في أجوبتهم الرابط العام للمسألة التي يُسألون عنها. ثم جاء من بعدهم أصحابهم فاهتموا بهذه الكلمات الجامعة، وصاروا يخرّجون عليها المسائل، بل وزادوا على ذلك باستنباط قواعد وأصول ما ذكرها الأئمة لكنها مستقرة في أذهانهم، أعملوها في تخريجاتهم.</w:t>
      </w:r>
    </w:p>
    <w:p>
      <w:pPr>
        <w:bidi/>
        <w:spacing w:after="200" w:line="360"/>
        <w:jc w:val="both"/>
      </w:pPr>
      <w:r>
        <w:rPr>
          <w:rFonts w:ascii="Traditional Arabic" w:cs="Traditional Arabic" w:eastAsia="Traditional Arabic" w:hAnsi="Traditional Arabic"/>
          <w:sz w:val="32"/>
          <w:szCs w:val="32"/>
          <w:rtl/>
        </w:rPr>
        <w:t xml:space="preserve">وهكذا لم تزل هذه القواعد الفقهية متناثرة في كتابات الأئمة وأصحابهم، وفي ذهن الفقيه وفي فتاويهم، لا يجمعها كتاب، ولم تستقل بعلم معين، حتى حصلت صياغتها على شكل قواعد فقهية لمذهب معين. ثم نشأ تطور القواعد الفقهية والتأليف فيها، ثم أخذ الفقهاء في صياغة القواعد الفقهية الصياغة المستقلة دون ربطها بكتب الفقه أو تعليل المسائل، بل قصدوا إلى جمع القواعد الفقهية.</w:t>
      </w:r>
    </w:p>
    <w:p>
      <w:pPr>
        <w:bidi/>
        <w:spacing w:after="200" w:line="360"/>
        <w:jc w:val="both"/>
      </w:pPr>
      <w:r>
        <w:rPr>
          <w:rFonts w:ascii="Traditional Arabic" w:cs="Traditional Arabic" w:eastAsia="Traditional Arabic" w:hAnsi="Traditional Arabic"/>
          <w:sz w:val="32"/>
          <w:szCs w:val="32"/>
          <w:rtl/>
        </w:rPr>
        <w:t xml:space="preserve">وأول ما حصل في ذلك من صياغة القواعد الفقهية كان على يد الإمام محمد بن محمد أبي طاهر الدبّاس، الفقيه الحنفي، إمام الحنفية في وقته؛ فقد ألّف رسالة جمع فيها قواعد مذهب أبي حنيفة في سبع عشرة قاعدة، وردّ فقه الإمام أبي حنيفة إليها. فلما علم بعض أئمة الحنفية بصنيعه سافروا إليه طمعًا في سماع هذه القواعد الفقهية التي ردّ فقه أبي حنيفة إليها. فمن هذا النقل وهذا التأليف نرى أن الفقهاء عمدوا إلى استقلالية القواعد الفقهية في وقت مبكر من التأليف.</w:t>
      </w:r>
    </w:p>
    <w:p>
      <w:pPr>
        <w:bidi/>
        <w:spacing w:after="200" w:line="360"/>
        <w:jc w:val="both"/>
      </w:pPr>
      <w:r>
        <w:rPr>
          <w:rFonts w:ascii="Traditional Arabic" w:cs="Traditional Arabic" w:eastAsia="Traditional Arabic" w:hAnsi="Traditional Arabic"/>
          <w:sz w:val="32"/>
          <w:szCs w:val="32"/>
          <w:rtl/>
        </w:rPr>
        <w:t xml:space="preserve">ونكتفي بهذا القدر، على أن نكمل نشأة القواعد الفقهية في حلقة قادمة إن شاء الله. وإلى ذلك الحين نستودعكم الله الذي لا تضيع ودائعه،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2026-10-15T09:49:37.194Z</dcterms:created>
  <dcterms:modified xsi:type="dcterms:W3CDTF">2026-10-15T09:49:37.199Z</dcterms:modified>
</cp:coreProperties>
</file>

<file path=docProps/custom.xml><?xml version="1.0" encoding="utf-8"?>
<Properties xmlns="http://schemas.openxmlformats.org/officeDocument/2006/custom-properties" xmlns:vt="http://schemas.openxmlformats.org/officeDocument/2006/docPropsVTypes"/>
</file>