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2</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عبر أثير إذاعة القرآن الكريم من دولة الكويت، في برنامج «القواعد الفقهية».</w:t>
      </w:r>
    </w:p>
    <w:p>
      <w:pPr>
        <w:bidi/>
        <w:spacing w:after="200" w:line="360"/>
        <w:jc w:val="both"/>
      </w:pPr>
      <w:r>
        <w:rPr>
          <w:rFonts w:ascii="Traditional Arabic" w:cs="Traditional Arabic" w:eastAsia="Traditional Arabic" w:hAnsi="Traditional Arabic"/>
          <w:sz w:val="32"/>
          <w:szCs w:val="32"/>
          <w:rtl/>
        </w:rPr>
        <w:t xml:space="preserve">وقد تكلمنا فيما سبق عن شيء من نشأة القواعد الفقهية، وقلنا إن القواعد الفقهية كانت مصاحبة لنزول القرآن الكريم والسنة النبوية المطهرة، وموجودة في استنباطات فقهاء الصحابة رضي الله عنهم، ومثّلنا بآيات من القرآن الكريم وأحاديث من السنة النبوية المطهرة تشتمل على قواعد فقهية عامة، وكذلك ما ورد من استنباطات فقهاء الصحابة، وكذلك ما حصل من استنباطات الفقهاء من التابعين وأتباعهم.</w:t>
      </w:r>
    </w:p>
    <w:p>
      <w:pPr>
        <w:bidi/>
        <w:spacing w:after="200" w:line="360"/>
        <w:jc w:val="both"/>
      </w:pPr>
      <w:r>
        <w:rPr>
          <w:rFonts w:ascii="Traditional Arabic" w:cs="Traditional Arabic" w:eastAsia="Traditional Arabic" w:hAnsi="Traditional Arabic"/>
          <w:sz w:val="32"/>
          <w:szCs w:val="32"/>
          <w:rtl/>
        </w:rPr>
        <w:t xml:space="preserve">ثم بدأت صياغة القواعد الفقهية لمذهب معين، فأول من ألّف في هذا هم الحنفية، وأولهم أبو طاهر الدبّاس إمام الحنفية؛ فقد جمع رحمه الله قواعد مذهب أبي حنيفة في سبع عشرة قاعدة، وردّ فقه الإمام أبي حنيفة إليها، وقصده الحنفية لهذه القواعد التي استنبطها وجمعها، ورأى أن فقه الإمام أبي حنيفة يندرج تحت هذه القواعد.</w:t>
      </w:r>
    </w:p>
    <w:p>
      <w:pPr>
        <w:bidi/>
        <w:spacing w:after="200" w:line="360"/>
        <w:jc w:val="both"/>
      </w:pPr>
      <w:r>
        <w:rPr>
          <w:rFonts w:ascii="Traditional Arabic" w:cs="Traditional Arabic" w:eastAsia="Traditional Arabic" w:hAnsi="Traditional Arabic"/>
          <w:sz w:val="32"/>
          <w:szCs w:val="32"/>
          <w:rtl/>
        </w:rPr>
        <w:t xml:space="preserve">ثم جاء بعد ذلك أبو الحسن الكرخي رحمه الله، وألّف رسالته المسماة «أصول الكرخي»، وقد اشتملت على سبع وثلاثين قاعدة، ذكر فيها الأصول التي عليها مدار كتب أصحاب أبي حنيفة. وهذه الأصول التي ذكرها بعضها قواعد كلية كبيرة، كقاعدة «اليقين لا يزول بالشك»، وقواعد العرف ودلالة الأحوال ونحو ذلك.</w:t>
      </w:r>
    </w:p>
    <w:p>
      <w:pPr>
        <w:bidi/>
        <w:spacing w:after="200" w:line="360"/>
        <w:jc w:val="both"/>
      </w:pPr>
      <w:r>
        <w:rPr>
          <w:rFonts w:ascii="Traditional Arabic" w:cs="Traditional Arabic" w:eastAsia="Traditional Arabic" w:hAnsi="Traditional Arabic"/>
          <w:sz w:val="32"/>
          <w:szCs w:val="32"/>
          <w:rtl/>
        </w:rPr>
        <w:t xml:space="preserve">ثم تلاه أبو الليث السمرقندي رحمه الله، فوضع كتابه في اختلاف الفقهاء الذي سُمّي «تأسيس النظائر». ثم جاء أبو زيد الدبوسي رحمه الله، الفقيه الحنفي المعروف، وألّف كتابه «تأسيس النظر». وتبعهم أيضًا ابن نجيم وألّف كتابه «الأشباه والنظائر». هذا ما يتعلق بالمذهب الحنفي وإسهاماتهم في تأليف القواعد الفقهية.</w:t>
      </w:r>
    </w:p>
    <w:p>
      <w:pPr>
        <w:bidi/>
        <w:spacing w:after="200" w:line="360"/>
        <w:jc w:val="both"/>
      </w:pPr>
      <w:r>
        <w:rPr>
          <w:rFonts w:ascii="Traditional Arabic" w:cs="Traditional Arabic" w:eastAsia="Traditional Arabic" w:hAnsi="Traditional Arabic"/>
          <w:sz w:val="32"/>
          <w:szCs w:val="32"/>
          <w:rtl/>
        </w:rPr>
        <w:t xml:space="preserve">ثم جاء كذلك المالكية رحمهم الله، فقهاء المالكية، وأول كتاب دُوّنت فيه قواعد المذهب المالكي كتاب «أصول الفتيا» للحارث الخشني رحمه الله، المتوفى في أواسط القرن الرابع سنة 360هـ، ثم توالت المؤلفات في قواعد المذهب المالكي.</w:t>
      </w:r>
    </w:p>
    <w:p>
      <w:pPr>
        <w:bidi/>
        <w:spacing w:after="200" w:line="360"/>
        <w:jc w:val="both"/>
      </w:pPr>
      <w:r>
        <w:rPr>
          <w:rFonts w:ascii="Traditional Arabic" w:cs="Traditional Arabic" w:eastAsia="Traditional Arabic" w:hAnsi="Traditional Arabic"/>
          <w:sz w:val="32"/>
          <w:szCs w:val="32"/>
          <w:rtl/>
        </w:rPr>
        <w:t xml:space="preserve">وكذلك الشافعية كان لهم إسهام في التأليف في قواعد مذهبهم، وأول كتاب في القواعد يُذكر «القواعد» للجاجرمي رحمه الله، قيل إنه أول كتاب ألّفه الشافعية في قواعد الفقه، ثم توالت مؤلفات الشافعية في هذا الباب.</w:t>
      </w:r>
    </w:p>
    <w:p>
      <w:pPr>
        <w:bidi/>
        <w:spacing w:after="200" w:line="360"/>
        <w:jc w:val="both"/>
      </w:pPr>
      <w:r>
        <w:rPr>
          <w:rFonts w:ascii="Traditional Arabic" w:cs="Traditional Arabic" w:eastAsia="Traditional Arabic" w:hAnsi="Traditional Arabic"/>
          <w:sz w:val="32"/>
          <w:szCs w:val="32"/>
          <w:rtl/>
        </w:rPr>
        <w:t xml:space="preserve">وكذلك بالنسبة للحنابلة، فأقدم ما يُذكر من هذا ويُطّلع عليه «القواعد الكبرى» و«القواعد الصغرى» لنجم الدين الطوفي، المتوفى في أول القرن الثامن.</w:t>
      </w:r>
    </w:p>
    <w:p>
      <w:pPr>
        <w:bidi/>
        <w:spacing w:after="200" w:line="360"/>
        <w:jc w:val="both"/>
      </w:pPr>
      <w:r>
        <w:rPr>
          <w:rFonts w:ascii="Traditional Arabic" w:cs="Traditional Arabic" w:eastAsia="Traditional Arabic" w:hAnsi="Traditional Arabic"/>
          <w:sz w:val="32"/>
          <w:szCs w:val="32"/>
          <w:rtl/>
        </w:rPr>
        <w:t xml:space="preserve">وهذا يدلنا على أهمية القواعد الفقهية وعلى فائدتها الكبيرة؛ إذ كل مذهب من المذاهب المتبوعة اليوم ألّف أهله قواعد فقهية تضبط فقه مذهبهم، التي من ضبطها تمرّس في الفقه.</w:t>
      </w:r>
    </w:p>
    <w:p>
      <w:pPr>
        <w:bidi/>
        <w:spacing w:after="200" w:line="360"/>
        <w:jc w:val="both"/>
      </w:pPr>
      <w:r>
        <w:rPr>
          <w:rFonts w:ascii="Traditional Arabic" w:cs="Traditional Arabic" w:eastAsia="Traditional Arabic" w:hAnsi="Traditional Arabic"/>
          <w:sz w:val="32"/>
          <w:szCs w:val="32"/>
          <w:rtl/>
        </w:rPr>
        <w:t xml:space="preserve">وقد أجمل هذه الفوائد الإمام أبو زيد الدبوسي رحمه الله في كتابه «تأسيس النظر»، وهو من أول ما أُلّف في هذا الباب في القواعد الفقهية، قال: «إني لما رأيت تصعُّب الأمر في تحفّظ مسائل الخلاف على المتفقهة – وفقهم الله لمرضاته – وتعسُّر طرق استنباطها عليهم، وقصور معرفتهم عن الاطلاع على حقيقة مآخذها، واشتباه مواضع الكلام عند التناظر فيها، جمعتُ في كتابي هذا أحرفًا – يقصد القواعد – إذا تدبّر الناظر فيها وتأملها عرف محالّ التنازع ومدار التناطح عند التخاصم، فيصرف عنايته إلى ترتيب الكلام وتقوية الحجج في المواضع التي عرف أنها مدار القول ومحال التنازع في موضع النزاع، فيسهل عليهم تحفظها، ويتيسر لهم سبيل الوصول إلى عرفان مآخذها».</w:t>
      </w:r>
    </w:p>
    <w:p>
      <w:pPr>
        <w:bidi/>
        <w:spacing w:after="200" w:line="360"/>
        <w:jc w:val="both"/>
      </w:pPr>
      <w:r>
        <w:rPr>
          <w:rFonts w:ascii="Traditional Arabic" w:cs="Traditional Arabic" w:eastAsia="Traditional Arabic" w:hAnsi="Traditional Arabic"/>
          <w:sz w:val="32"/>
          <w:szCs w:val="32"/>
          <w:rtl/>
        </w:rPr>
        <w:t xml:space="preserve">فهو يرى بأن الفقيه والمتعلم بضبطه القواعد الفقهية جنى من دراستها التمرّس في الفقه والانطلاق فيه وضبطه، وسهل عليه معرفة الخلاف والاتفاق.</w:t>
      </w:r>
    </w:p>
    <w:p>
      <w:pPr>
        <w:bidi/>
        <w:spacing w:after="200" w:line="360"/>
        <w:jc w:val="both"/>
      </w:pPr>
      <w:r>
        <w:rPr>
          <w:rFonts w:ascii="Traditional Arabic" w:cs="Traditional Arabic" w:eastAsia="Traditional Arabic" w:hAnsi="Traditional Arabic"/>
          <w:sz w:val="32"/>
          <w:szCs w:val="32"/>
          <w:rtl/>
        </w:rPr>
        <w:t xml:space="preserve">ولعلنا نُجمل الفوائد العامة للقواعد الفقهية:</w:t>
      </w:r>
    </w:p>
    <w:p>
      <w:pPr>
        <w:bidi/>
        <w:spacing w:after="200" w:line="360"/>
        <w:jc w:val="both"/>
      </w:pPr>
      <w:r>
        <w:rPr>
          <w:rFonts w:ascii="Traditional Arabic" w:cs="Traditional Arabic" w:eastAsia="Traditional Arabic" w:hAnsi="Traditional Arabic"/>
          <w:sz w:val="32"/>
          <w:szCs w:val="32"/>
          <w:rtl/>
        </w:rPr>
        <w:t xml:space="preserve">أولًا: أن حفظ القاعدة الفقهية وفهمها يسهّل ضبط مسائل كثيرة؛ فالقاعدة تصوّرٌ للفروع المندرجة تحتها، فمن خلال معرفة القاعدة وحفظها والاستكثار من التفريع عليها تُحفظ فروع كثيرة من الفقه وتُضبط، وهذا أسهل بكثير من محاولة حفظ الفروع مباشرة؛ لأن هذا متعذر وصعب، لكن حفظ القاعدة يسهّل عليك معرفة الفروع التي تندرج تحتها.</w:t>
      </w:r>
    </w:p>
    <w:p>
      <w:pPr>
        <w:bidi/>
        <w:spacing w:after="200" w:line="360"/>
        <w:jc w:val="both"/>
      </w:pPr>
      <w:r>
        <w:rPr>
          <w:rFonts w:ascii="Traditional Arabic" w:cs="Traditional Arabic" w:eastAsia="Traditional Arabic" w:hAnsi="Traditional Arabic"/>
          <w:sz w:val="32"/>
          <w:szCs w:val="32"/>
          <w:rtl/>
        </w:rPr>
        <w:t xml:space="preserve">ثانيًا: أن القاعدة الفقهية من فوائدها أنها تلمّ ما تناثر من الفروع، بإعطاء التصور الصحيح للمأخذ الذي يربط الفروع المتشابهة برابط معين، فيتسع بذلك مدارك ونظر المتفقه، ويطّلع على أسرار الفقه وجوامعه، وحينئذ تكون مانعًا من الوقوع في الاضطراب والتناقض. ولهذا توجد في نفس الفقيه الذي ضبط هذه القواعد ملكةٌ لمعرفة جزئيات وحوادث مستجدة لم يقرأها ولم يطّلع عليها، وإنما يردّها إلى ما عنده من قواعد عامة وضوابط كلية.</w:t>
      </w:r>
    </w:p>
    <w:p>
      <w:pPr>
        <w:bidi/>
        <w:spacing w:after="200" w:line="360"/>
        <w:jc w:val="both"/>
      </w:pPr>
      <w:r>
        <w:rPr>
          <w:rFonts w:ascii="Traditional Arabic" w:cs="Traditional Arabic" w:eastAsia="Traditional Arabic" w:hAnsi="Traditional Arabic"/>
          <w:sz w:val="32"/>
          <w:szCs w:val="32"/>
          <w:rtl/>
        </w:rPr>
        <w:t xml:space="preserve">ثالثًا: أن من فوائد معرفة القواعد الفقهية ودراستها التعرف على مقاصد الشريعة وأسرارها؛ إذ الأحكام فيها مأخذها، لأن القواعد الفقهية في الجملة مشتملة على ذلك، كما في قاعدة «المشقة تجلب التيسير»، وقاعدة «لا ضرر ولا ضرار»، وقاعدة «الشريعة مبنية على جلب المصالح وتكميلها، ودفع المفاسد وتقليلها»؛ ففي هذه القواعد تتضح مقاصد الشريعة. فالقواعد الفقهية توصل الفقيه وتوقفه على أسرار الشريعة ومقاصدها.</w:t>
      </w:r>
    </w:p>
    <w:p>
      <w:pPr>
        <w:bidi/>
        <w:spacing w:after="200" w:line="360"/>
        <w:jc w:val="both"/>
      </w:pPr>
      <w:r>
        <w:rPr>
          <w:rFonts w:ascii="Traditional Arabic" w:cs="Traditional Arabic" w:eastAsia="Traditional Arabic" w:hAnsi="Traditional Arabic"/>
          <w:sz w:val="32"/>
          <w:szCs w:val="32"/>
          <w:rtl/>
        </w:rPr>
        <w:t xml:space="preserve">رابعًا: بضبط القواعد الفقهية نستطيع أن نسدّ الباب أمام المتلاعبين بالنصوص والدلالات، فنقول: ما ذهبتم إليه من الاستدلال بهذه الآية وبهذا الحديث على هذه الحادثة لا ينسجم مع القواعد الفقهية التي دلّت عليها النصوص، وبالتالي فيكون هذا الاستنباط شذوذًا ومخالفة لما استقر عليه عمل المسلمين واستنباطهم. فضبط القواعد الفقهية يسدّ الباب أمام المتلاعبين الذين يريدون أن تكون الشريعة كلأً مباحًا لكل من أراد أن يتكلم فيها.</w:t>
      </w:r>
    </w:p>
    <w:p>
      <w:pPr>
        <w:bidi/>
        <w:spacing w:after="200" w:line="360"/>
        <w:jc w:val="both"/>
      </w:pPr>
      <w:r>
        <w:rPr>
          <w:rFonts w:ascii="Traditional Arabic" w:cs="Traditional Arabic" w:eastAsia="Traditional Arabic" w:hAnsi="Traditional Arabic"/>
          <w:sz w:val="32"/>
          <w:szCs w:val="32"/>
          <w:rtl/>
        </w:rPr>
        <w:t xml:space="preserve">خامسًا: فهم القواعد الفقهية والاهتمام بها ومدارستها يكوّن عند المرء الملكة الفقهية، حيث يتمكن من التخريج والتنظير واستنباط الأحكام للوقائع الجديدة.</w:t>
      </w:r>
    </w:p>
    <w:p>
      <w:pPr>
        <w:bidi/>
        <w:spacing w:after="200" w:line="360"/>
        <w:jc w:val="both"/>
      </w:pPr>
      <w:r>
        <w:rPr>
          <w:rFonts w:ascii="Traditional Arabic" w:cs="Traditional Arabic" w:eastAsia="Traditional Arabic" w:hAnsi="Traditional Arabic"/>
          <w:sz w:val="32"/>
          <w:szCs w:val="32"/>
          <w:rtl/>
        </w:rPr>
        <w:t xml:space="preserve">ولسائل أن يسأل: من أين تُستمد القواعد الفقهية؟ نقول: إن استمداد القواعد الفقهية من الكتاب والسنة والإجماع وآثار الصحابة واستنباط الفقهاء المعتبرين، وهناك أمثلة تدل على ذلك:</w:t>
      </w:r>
    </w:p>
    <w:p>
      <w:pPr>
        <w:bidi/>
        <w:spacing w:after="200" w:line="360"/>
        <w:jc w:val="both"/>
      </w:pPr>
      <w:r>
        <w:rPr>
          <w:rFonts w:ascii="Traditional Arabic" w:cs="Traditional Arabic" w:eastAsia="Traditional Arabic" w:hAnsi="Traditional Arabic"/>
          <w:sz w:val="32"/>
          <w:szCs w:val="32"/>
          <w:rtl/>
        </w:rPr>
        <w:t xml:space="preserve">مثلًا قاعدة «الأمور بمقاصدها»، كيف ساقها الفقهاء وذكروها؟ قالوا: الأصل فيها الكتاب والسنة؛ فمن الكتاب قول الله عز وجل: ﴿وَمَا أُمِرُوا إِلَّا لِيَعْبُدُوا اللَّهَ مُخْلِصِينَ لَهُ الدِّينَ﴾، ومن السنة قوله عليه الصلاة والسلام: «إنما الأعمال بالنيات». فالأمور بمقاصدها.</w:t>
      </w:r>
    </w:p>
    <w:p>
      <w:pPr>
        <w:bidi/>
        <w:spacing w:after="200" w:line="360"/>
        <w:jc w:val="both"/>
      </w:pPr>
      <w:r>
        <w:rPr>
          <w:rFonts w:ascii="Traditional Arabic" w:cs="Traditional Arabic" w:eastAsia="Traditional Arabic" w:hAnsi="Traditional Arabic"/>
          <w:sz w:val="32"/>
          <w:szCs w:val="32"/>
          <w:rtl/>
        </w:rPr>
        <w:t xml:space="preserve">وكذلك قاعدة «اليقين لا يزول بالشك» أو «اليقين لا يُرفع بالشك»، الأصل فيها حديث عبد الله بن زيد لما شُكي إلى النبي عليه الصلاة والسلام الرجلُ يُشكل عليه: أخرج منه شيء أو لا؟ وهو يُخيَّل إليه أنه يجد الشيء في الصلاة، فقال: «لا ينفتل – أو لا ينصرف – حتى يسمع صوتًا أو يجد ريحًا»، فردّه إلى اليقين. كذلك ما جاء عن النبي عليه الصلاة والسلام في حديث أبي هريرة في صحيح مسلم: «إذا وجد أحدكم في بطنه شيئًا، فأشكل عليه: أخرج منه شيء أم لا؟ فلا يخرجنّ من المسجد حتى يسمع صوتًا أو يجد ريحًا». فنرى هنا ردّ من أشكل عليه شيء إلى اليقين، لذلك أخذ الفقهاء قاعدة «اليقين لا يزول بالشك»؛ فيقينُ أنك متطهر لا يزول بمجرد وجود قرقرة في البطن أو شيء من هذا، لا بد أن تتيقن، فلا تخرج حتى تسمع صوتًا أو تجد ريحًا. كذلك قوله عليه الصلاة والسلام: «إذا شكّ أحدكم في صلاته فلم يدرِ كم صلى، ثلاثًا أم أربعًا، فليطرح الشك وليبنِ على ما استيقن». فنرى أن الفقهاء استمدوا قاعدة اليقين من النصوص.</w:t>
      </w:r>
    </w:p>
    <w:p>
      <w:pPr>
        <w:bidi/>
        <w:spacing w:after="200" w:line="360"/>
        <w:jc w:val="both"/>
      </w:pPr>
      <w:r>
        <w:rPr>
          <w:rFonts w:ascii="Traditional Arabic" w:cs="Traditional Arabic" w:eastAsia="Traditional Arabic" w:hAnsi="Traditional Arabic"/>
          <w:sz w:val="32"/>
          <w:szCs w:val="32"/>
          <w:rtl/>
        </w:rPr>
        <w:t xml:space="preserve">كذلك قاعدة «المشقة تجلب التيسير»، الأصل فيها قوله عز وجل: ﴿وَمَا جَعَلَ عَلَيْكُمْ فِي الدِّينِ مِنْ حَرَجٍ﴾، و﴿مَا يُرِيدُ اللَّهُ لِيَجْعَلَ عَلَيْكُمْ مِنْ حَرَجٍ وَلَكِنْ يُرِيدُ لِيُطَهِّرَكُمْ وَلِيُتِمَّ نِعْمَتَهُ عَلَيْكُمْ لَعَلَّكُمْ تَشْكُرُونَ﴾، و﴿يُرِيدُ اللَّهُ بِكُمُ الْيُسْرَ﴾، وأيضًا قوله عليه الصلاة والسلام في السنة: «يسّروا ولا تعسّروا، وبشّروا ولا تنفّروا». فهذه الأدلة يستنبط من مجموعها الفقهاء قاعدة عامة هي «المشقة تجلب التيسير».</w:t>
      </w:r>
    </w:p>
    <w:p>
      <w:pPr>
        <w:bidi/>
        <w:spacing w:after="200" w:line="360"/>
        <w:jc w:val="both"/>
      </w:pPr>
      <w:r>
        <w:rPr>
          <w:rFonts w:ascii="Traditional Arabic" w:cs="Traditional Arabic" w:eastAsia="Traditional Arabic" w:hAnsi="Traditional Arabic"/>
          <w:sz w:val="32"/>
          <w:szCs w:val="32"/>
          <w:rtl/>
        </w:rPr>
        <w:t xml:space="preserve">أيضًا قاعدة «الميسور لا يسقط بالمعسور». ونحن نمثّل هنا لاستمداد القواعد الفقهية، وإلا فكل قاعدة من هذه سنأخذها بالتفصيل بأدلتها ومعناها والتطبيقات عليها، لكن المقصد من هذا أن نبيّن أن استمداد القواعد الفقهية وصياغة القاعدة الفقهية إنما جاء من مجموع النصوص الشرعية أو من فتاوى الصحابة وفهمهم العام للشريعة؛ فكل قاعدة نجد أن الأدلة دلّت عليها. فمن ذلك قاعدة «الميسور لا يسقط بالمعسور»، الأصل فيها قوله تعالى: ﴿فَاتَّقُوا اللَّهَ مَا اسْتَطَعْتُمْ﴾، وقوله عليه الصلاة والسلام: «إذا أمرتكم بأمر فأتوا منه ما استطعتم».</w:t>
      </w:r>
    </w:p>
    <w:p>
      <w:pPr>
        <w:bidi/>
        <w:spacing w:after="200" w:line="360"/>
        <w:jc w:val="both"/>
      </w:pPr>
      <w:r>
        <w:rPr>
          <w:rFonts w:ascii="Traditional Arabic" w:cs="Traditional Arabic" w:eastAsia="Traditional Arabic" w:hAnsi="Traditional Arabic"/>
          <w:sz w:val="32"/>
          <w:szCs w:val="32"/>
          <w:rtl/>
        </w:rPr>
        <w:t xml:space="preserve">كذلك قاعدة «لا يؤاخذ أحد بجريرة غيره»، هذه قاعدة مهمة، الأصل فيها قوله عز وجل: ﴿وَلَا تَزِرُ وَازِرَةٌ وِزْرَ أُخْرَى﴾.</w:t>
      </w:r>
    </w:p>
    <w:p>
      <w:pPr>
        <w:bidi/>
        <w:spacing w:after="200" w:line="360"/>
        <w:jc w:val="both"/>
      </w:pPr>
      <w:r>
        <w:rPr>
          <w:rFonts w:ascii="Traditional Arabic" w:cs="Traditional Arabic" w:eastAsia="Traditional Arabic" w:hAnsi="Traditional Arabic"/>
          <w:sz w:val="32"/>
          <w:szCs w:val="32"/>
          <w:rtl/>
        </w:rPr>
        <w:t xml:space="preserve">وهكذا القواعد، الأصل فيها أنها مستنبطة من الكتاب والسنة، وأحيانًا مستنبطة من آثار الصحابة، كقاعدة «الاجتهاد لا يُنقض بالاجتهاد»، هذه القاعدة قال عنها السيوطي رحمه الله: الأصل في ذلك إجماع الصحابة. فأُخذ من هذا أن الاجتهاد لا يُنقض بالاجتهاد، خاصة اجتهاد القاضي في المسائل التي يسوغ فيها الاجتهاد؛ لأنه لو نُقض الاجتهاد لما استقر للناس حكم، ولما انتظمت الأقضية.</w:t>
      </w:r>
    </w:p>
    <w:p>
      <w:pPr>
        <w:bidi/>
        <w:spacing w:after="200" w:line="360"/>
        <w:jc w:val="both"/>
      </w:pPr>
      <w:r>
        <w:rPr>
          <w:rFonts w:ascii="Traditional Arabic" w:cs="Traditional Arabic" w:eastAsia="Traditional Arabic" w:hAnsi="Traditional Arabic"/>
          <w:sz w:val="32"/>
          <w:szCs w:val="32"/>
          <w:rtl/>
        </w:rPr>
        <w:t xml:space="preserve">فهذه القواعد يستنبطها العلماء ويجمعونها من الكتاب والسنة وآثار الصحابة ومن الإجماع ومن القياس وهكذا. كذلك جمع الفقهاء بعض القواعد من كلام الفقهاء المعتبرين من التابعين، كما نُقل عن القاضي شريح رحمه الله قوله: «من ضمن مالًا فله ربحه»، و«ليس على مؤتمن ضمان». وهذا واضح في استمداد القواعد الفقهية من عموم نصوص الشريعة.</w:t>
      </w:r>
    </w:p>
    <w:p>
      <w:pPr>
        <w:bidi/>
        <w:spacing w:after="200" w:line="360"/>
        <w:jc w:val="both"/>
      </w:pPr>
      <w:r>
        <w:rPr>
          <w:rFonts w:ascii="Traditional Arabic" w:cs="Traditional Arabic" w:eastAsia="Traditional Arabic" w:hAnsi="Traditional Arabic"/>
          <w:sz w:val="32"/>
          <w:szCs w:val="32"/>
          <w:rtl/>
        </w:rPr>
        <w:t xml:space="preserve">ويُكثر الإمام مالك رحمه الله من ذلك، خاصة في كتابه «الموطأ»؛ يذكر كثيرًا من القواعد والضوابط الفقهية، ويعبّر عنها بقوله: «مضت السنة التي لا اختلاف فيها أن الأمر كذا»، أو «الأمر عندنا كذا»، أو «السنة التي لا اختلاف فيها عندنا»، أو «الأمر الذي لا اختلاف فيه عندنا»، أو «الأمر المجتمع عليه»، وغير ذلك من الألفاظ التي يصوغ من خلالها قاعدة عامة تندرج تحتها فروع فقهية كثيرة.</w:t>
      </w:r>
    </w:p>
    <w:p>
      <w:pPr>
        <w:bidi/>
        <w:spacing w:after="200" w:line="360"/>
        <w:jc w:val="both"/>
      </w:pPr>
      <w:r>
        <w:rPr>
          <w:rFonts w:ascii="Traditional Arabic" w:cs="Traditional Arabic" w:eastAsia="Traditional Arabic" w:hAnsi="Traditional Arabic"/>
          <w:sz w:val="32"/>
          <w:szCs w:val="32"/>
          <w:rtl/>
        </w:rPr>
        <w:t xml:space="preserve">فاستمداد القواعد الفقهية من الكتاب والسنة والإجماع والقياس، ومن نظر الصحابة، وفقه التابعين، والأئمة المعتبرين.</w:t>
      </w:r>
    </w:p>
    <w:p>
      <w:pPr>
        <w:bidi/>
        <w:spacing w:after="200" w:line="360"/>
        <w:jc w:val="both"/>
      </w:pPr>
      <w:r>
        <w:rPr>
          <w:rFonts w:ascii="Traditional Arabic" w:cs="Traditional Arabic" w:eastAsia="Traditional Arabic" w:hAnsi="Traditional Arabic"/>
          <w:sz w:val="32"/>
          <w:szCs w:val="32"/>
          <w:rtl/>
        </w:rPr>
        <w:t xml:space="preserve">ونكتفي بهذا القدر،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2026-10-15T09:49:37.529Z</dcterms:created>
  <dcterms:modified xsi:type="dcterms:W3CDTF">2026-10-15T09:49:37.529Z</dcterms:modified>
</cp:coreProperties>
</file>

<file path=docProps/custom.xml><?xml version="1.0" encoding="utf-8"?>
<Properties xmlns="http://schemas.openxmlformats.org/officeDocument/2006/custom-properties" xmlns:vt="http://schemas.openxmlformats.org/officeDocument/2006/docPropsVTypes"/>
</file>