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4</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نتكلم – وعلى الله التكلان – عن أن علم القواعد الفقهية نشأ مع ظهور هذا الدين على يد أفضل المرسلين صلى الله عليه وسلم، وهذا واضح وجلي من خلال الآيات القرآنية الكريمة الواضحة في الفصاحة والبيان والإيجاز؛ حيث اشتملت آيات القرآن الكريم على ألفاظ قليلة لكنها تحوي معاني كثيرة، بما هو تقعيد عام للأمة.</w:t>
      </w:r>
    </w:p>
    <w:p>
      <w:pPr>
        <w:bidi/>
        <w:spacing w:after="200" w:line="360"/>
        <w:jc w:val="both"/>
      </w:pPr>
      <w:r>
        <w:rPr>
          <w:rFonts w:ascii="Traditional Arabic" w:cs="Traditional Arabic" w:eastAsia="Traditional Arabic" w:hAnsi="Traditional Arabic"/>
          <w:sz w:val="32"/>
          <w:szCs w:val="32"/>
          <w:rtl/>
        </w:rPr>
        <w:t xml:space="preserve">فقوله تعالى: ﴿وَلَا تُلْقُوا بِأَيْدِيكُمْ إِلَى التَّهْلُكَةِ﴾ هذه قاعدة عامة في كل أبواب الشريعة، وقوله تعالى: ﴿وَلَا تَنْسَوُا الْفَضْلَ بَيْنَكُمْ﴾ هي قاعدة عامة، و﴿يُرِيدُ اللَّهُ بِكُمُ الْيُسْرَ وَلَا يُرِيدُ بِكُمُ الْعُسْرَ﴾ قاعدة فقهية عامة، وقوله تعالى: ﴿وَإِنْ عَاقَبْتُمْ فَعَاقِبُوا بِمِثْلِ مَا عُوقِبْتُمْ بِهِ﴾، وقوله تعالى: ﴿وَمَا جَعَلَ عَلَيْكُمْ فِي الدِّينِ مِنْ حَرَجٍ﴾، و﴿ادْفَعْ بِالَّتِي هِيَ أَحْسَنُ﴾.</w:t>
      </w:r>
    </w:p>
    <w:p>
      <w:pPr>
        <w:bidi/>
        <w:spacing w:after="200" w:line="360"/>
        <w:jc w:val="both"/>
      </w:pPr>
      <w:r>
        <w:rPr>
          <w:rFonts w:ascii="Traditional Arabic" w:cs="Traditional Arabic" w:eastAsia="Traditional Arabic" w:hAnsi="Traditional Arabic"/>
          <w:sz w:val="32"/>
          <w:szCs w:val="32"/>
          <w:rtl/>
        </w:rPr>
        <w:t xml:space="preserve">فعندما ننظر إلى القرآن الكريم نجد أنه احتوى على قواعد تدخل في أبواب متعددة من أبواب الفقه، فالقواعد الفقهية هي مع نزول القرآن، فنشأتها مع أول التشريع، مع أول ظهور الإسلام، فالقواعد الفقهية موجودة وإن كانت لم تُفرد وتُفصَّل بعلم مستقل إلا متأخرًا في زمن التدوين، وهذا شأن العلوم الأخرى كعلم الحديث وعلم أصول الفقه وعلم القراءات وهكذا؛ كُتبت ودُوّنت متأخرة عن زمن التشريع وإن كانت موجودة في زمن التشريع.</w:t>
      </w:r>
    </w:p>
    <w:p>
      <w:pPr>
        <w:bidi/>
        <w:spacing w:after="200" w:line="360"/>
        <w:jc w:val="both"/>
      </w:pPr>
      <w:r>
        <w:rPr>
          <w:rFonts w:ascii="Traditional Arabic" w:cs="Traditional Arabic" w:eastAsia="Traditional Arabic" w:hAnsi="Traditional Arabic"/>
          <w:sz w:val="32"/>
          <w:szCs w:val="32"/>
          <w:rtl/>
        </w:rPr>
        <w:t xml:space="preserve">كذلك القواعد الفقهية واضحة في كلام المصطفى صلى الله عليه وسلم؛ وذلك أنه أُعطي جوامع الكلم عليه الصلاة والسلام، فكانت أحاديثه بما فيها من إيجاز وشمول للمعاني واحتوائها أحكامًا كثيرة هي البذرة المباركة لعلم القواعد الفقهية مع آيات القرآن، وكثير من القواعد قُعّدت بلفظه عليه الصلاة والسلام.</w:t>
      </w:r>
    </w:p>
    <w:p>
      <w:pPr>
        <w:bidi/>
        <w:spacing w:after="200" w:line="360"/>
        <w:jc w:val="both"/>
      </w:pPr>
      <w:r>
        <w:rPr>
          <w:rFonts w:ascii="Traditional Arabic" w:cs="Traditional Arabic" w:eastAsia="Traditional Arabic" w:hAnsi="Traditional Arabic"/>
          <w:sz w:val="32"/>
          <w:szCs w:val="32"/>
          <w:rtl/>
        </w:rPr>
        <w:t xml:space="preserve">مثلًا قوله عليه الصلاة والسلام: «الخراج بالضمان»، هذا حديث رواه أبو داود وغيره، وأخذه الفقهاء قاعدة عامة وفرّعوا عليه مسائل كثيرة. وقوله عليه الصلاة والسلام: «لا ضرر ولا ضرار»، هذه قاعدة عامة، والحديث أخرجه الإمام أحمد وغيره. وقوله عليه الصلاة والسلام: «الزعيم غارم» في حديث أبي داود، فهذه قاعدة عامة. وقوله عليه الصلاة والسلام: «السلطان وليّ من لا وليّ له»، فهذه قاعدة فقهية عامة.</w:t>
      </w:r>
    </w:p>
    <w:p>
      <w:pPr>
        <w:bidi/>
        <w:spacing w:after="200" w:line="360"/>
        <w:jc w:val="both"/>
      </w:pPr>
      <w:r>
        <w:rPr>
          <w:rFonts w:ascii="Traditional Arabic" w:cs="Traditional Arabic" w:eastAsia="Traditional Arabic" w:hAnsi="Traditional Arabic"/>
          <w:sz w:val="32"/>
          <w:szCs w:val="32"/>
          <w:rtl/>
        </w:rPr>
        <w:t xml:space="preserve">قال ابن القيم: «وإذا كان أرباب المذاهب يضبطون مذاهبهم ويحصرونها بجوامع تحيط بما يحل ويحرم عندهم مع قصور بيانهم، فالله ورسوله المبعوث بجوامع الكلم أقدر على ذلك؛ فإنه صلى الله عليه وسلم يأتي بالكلمة الجامعة، وهي قاعدة عامة وقضية كلية تجمع أنواعًا وأفرادًا، وتدل دلالتين: دلالة طرد ودلالة عكس».</w:t>
      </w:r>
    </w:p>
    <w:p>
      <w:pPr>
        <w:bidi/>
        <w:spacing w:after="200" w:line="360"/>
        <w:jc w:val="both"/>
      </w:pPr>
      <w:r>
        <w:rPr>
          <w:rFonts w:ascii="Traditional Arabic" w:cs="Traditional Arabic" w:eastAsia="Traditional Arabic" w:hAnsi="Traditional Arabic"/>
          <w:sz w:val="32"/>
          <w:szCs w:val="32"/>
          <w:rtl/>
        </w:rPr>
        <w:t xml:space="preserve">وهكذا الصحابة ساروا على هذا المنهج، والتابعون من بعدهم رضي الله عنهم؛ حيث نجد أن الصحابة رضي الله عنهم صاغوا ألفاظًا جامعة للأحكام، وهذه الألفاظ الجامعة صاغها الصحابة رضي الله عنهم مستنبطة من عموم أدلة الشريعة. فمما قاله الصحابة رضي الله عنهم وهو تقعيد وقاعدة فقهية عامة قول عمر رضي الله عنه: «مقاطع الحقوق عند الشروط»، رواه البخاري معلقًا. وقول ابن عباس رضي الله عنهما: «كل شيء في القرآن (أو) فهو مخيَّر»، إذا رأيت في القرآن (أو) فهو مخيَّر، وإن وجدت في القرآن (فإن لم تجدوا) فهو الأول فالأول.</w:t>
      </w:r>
    </w:p>
    <w:p>
      <w:pPr>
        <w:bidi/>
        <w:spacing w:after="200" w:line="360"/>
        <w:jc w:val="both"/>
      </w:pPr>
      <w:r>
        <w:rPr>
          <w:rFonts w:ascii="Traditional Arabic" w:cs="Traditional Arabic" w:eastAsia="Traditional Arabic" w:hAnsi="Traditional Arabic"/>
          <w:sz w:val="32"/>
          <w:szCs w:val="32"/>
          <w:rtl/>
        </w:rPr>
        <w:t xml:space="preserve">وهكذا التابعون الذين تخرّجوا من مدرسة الصحابة رضي الله عنهم نجدهم أتوا بقواعد فقهية تضبط العلم، من ذلك ما أُثر عن القاضي شريح رحمه الله قوله: «من شرط على نفسه شرطًا وهو طائع غير مكره فهو عليه».</w:t>
      </w:r>
    </w:p>
    <w:p>
      <w:pPr>
        <w:bidi/>
        <w:spacing w:after="200" w:line="360"/>
        <w:jc w:val="both"/>
      </w:pPr>
      <w:r>
        <w:rPr>
          <w:rFonts w:ascii="Traditional Arabic" w:cs="Traditional Arabic" w:eastAsia="Traditional Arabic" w:hAnsi="Traditional Arabic"/>
          <w:sz w:val="32"/>
          <w:szCs w:val="32"/>
          <w:rtl/>
        </w:rPr>
        <w:t xml:space="preserve">كذلك الأئمة؛ نجد أن الإمام الشافعي رحمه الله قال قواعد فقهية عامة تدل على سعة اطلاعه واستقرائه للشريعة حتى صاغ هذا الأمر، قال: «إذا ضاق الأمر اتسع»، وقوله: «منزلة الإمام من الرعية بمنزلة الولي من اليتيم»، وكذلك قوله: «الأعظم إذا سقط عن الناس سقط ما هو أصغر منه». فتجد أن الفقهاء يصوغون القواعد الفقهية ويفرّعون عليها. كذلك قول الإمام محمد بن الحسن الشيباني صاحب أبي حنيفة: «لا يجتمع الأجر والضمان». فتجد أن الفقهاء استخدموا القواعد الفقهية وفرّعوا عليها مسائل كثيرة.</w:t>
      </w:r>
    </w:p>
    <w:p>
      <w:pPr>
        <w:bidi/>
        <w:spacing w:after="200" w:line="360"/>
        <w:jc w:val="both"/>
      </w:pPr>
      <w:r>
        <w:rPr>
          <w:rFonts w:ascii="Traditional Arabic" w:cs="Traditional Arabic" w:eastAsia="Traditional Arabic" w:hAnsi="Traditional Arabic"/>
          <w:sz w:val="32"/>
          <w:szCs w:val="32"/>
          <w:rtl/>
        </w:rPr>
        <w:t xml:space="preserve">أما أقدم مؤلَّف في علم القواعد فهو ما جمعه الإمام أبو طاهر محمد بن محمد الدبّاس، من فقهاء القرنين الثالث والرابع، القاضي الذي ولي القضاء بالشام؛ حيث جمع أهم قواعد مذهب الإمام أبي حنيفة في سبع عشرة قاعدة كلية، وبذلك يكون هذا أول مؤلَّف جمع القواعد الفقهية، وأرجع فقه الإمام أبي حنيفة إلى هذه القواعد. فنجد أن أبا طاهر الدبّاس رحمه الله هو أول من ألّف، أما استخدام القاعدة الفقهية ووجودها فهو موجود مع أول التشريع الإسلامي.</w:t>
      </w:r>
    </w:p>
    <w:p>
      <w:pPr>
        <w:bidi/>
        <w:spacing w:after="200" w:line="360"/>
        <w:jc w:val="both"/>
      </w:pPr>
      <w:r>
        <w:rPr>
          <w:rFonts w:ascii="Traditional Arabic" w:cs="Traditional Arabic" w:eastAsia="Traditional Arabic" w:hAnsi="Traditional Arabic"/>
          <w:sz w:val="32"/>
          <w:szCs w:val="32"/>
          <w:rtl/>
        </w:rPr>
        <w:t xml:space="preserve">من أين تُستمد القاعدة الفقهية؟ القاعدة الفقهية لا بد أن يقوم عليها دليل شرعي يدل على ثبوتها، سواء من الكتاب أو السنة أو الإجماع أو القياس أو أصول الشريعة، وقد تتضافر الأدلة على القاعدة الواحدة، خصوصًا القواعد الكلية الكبرى الخمس التي تكلمنا عنها في حلقة سابقة.</w:t>
      </w:r>
    </w:p>
    <w:p>
      <w:pPr>
        <w:bidi/>
        <w:spacing w:after="200" w:line="360"/>
        <w:jc w:val="both"/>
      </w:pPr>
      <w:r>
        <w:rPr>
          <w:rFonts w:ascii="Traditional Arabic" w:cs="Traditional Arabic" w:eastAsia="Traditional Arabic" w:hAnsi="Traditional Arabic"/>
          <w:sz w:val="32"/>
          <w:szCs w:val="32"/>
          <w:rtl/>
        </w:rPr>
        <w:t xml:space="preserve">فمن دلالات الكتاب قوله عز وجل: ﴿يُرِيدُ اللَّهُ بِكُمُ الْيُسْرَ وَلَا يُرِيدُ بِكُمُ الْعُسْرَ﴾، هذه الآية تدل على قاعدة «المشقة تجلب التيسير»، فاستمداد القاعدة الفقهية من الأدلة الشرعية. كذلك قوله تعالى: ﴿فَمَنِ اضْطُرَّ غَيْرَ بَاغٍ وَلَا عَادٍ فَلَا إِثْمَ عَلَيْهِ﴾، هذا الدليل يدل على القاعدة الفقهية «الضرورات تبيح المحظورات»، وقاعدة «الضرورات تقدَّر بقدرها».</w:t>
      </w:r>
    </w:p>
    <w:p>
      <w:pPr>
        <w:bidi/>
        <w:spacing w:after="200" w:line="360"/>
        <w:jc w:val="both"/>
      </w:pPr>
      <w:r>
        <w:rPr>
          <w:rFonts w:ascii="Traditional Arabic" w:cs="Traditional Arabic" w:eastAsia="Traditional Arabic" w:hAnsi="Traditional Arabic"/>
          <w:sz w:val="32"/>
          <w:szCs w:val="32"/>
          <w:rtl/>
        </w:rPr>
        <w:t xml:space="preserve">كذلك قاعدة «اليقين لا يزول بالشك»، نجد أن الفقهاء استقوا هذه القاعدة من قوله عليه الصلاة والسلام: «فلا ينصرف حتى يسمع صوتًا أو يجد ريحًا».</w:t>
      </w:r>
    </w:p>
    <w:p>
      <w:pPr>
        <w:bidi/>
        <w:spacing w:after="200" w:line="360"/>
        <w:jc w:val="both"/>
      </w:pPr>
      <w:r>
        <w:rPr>
          <w:rFonts w:ascii="Traditional Arabic" w:cs="Traditional Arabic" w:eastAsia="Traditional Arabic" w:hAnsi="Traditional Arabic"/>
          <w:sz w:val="32"/>
          <w:szCs w:val="32"/>
          <w:rtl/>
        </w:rPr>
        <w:t xml:space="preserve">كذلك قوله عليه الصلاة والسلام لما أراد بنو سلمة أن يتحولوا إلى قرب المسجد، فقال لهم النبي عليه الصلاة والسلام: «يا بني سلمة، دياركم تُكتب آثاركم»، فقالوا: ما كان يسرّنا أنّا كنا تحوّلنا، فبقوا في ديارهم. قال: «تُكتب آثاركم»، أي لا تقتربوا من المسجد، فهذه الآثار ستُكتب لكم. هذا الحديث فهم منه أهل العلم قاعدة «الوسائل لها أحكام المقاصد».</w:t>
      </w:r>
    </w:p>
    <w:p>
      <w:pPr>
        <w:bidi/>
        <w:spacing w:after="200" w:line="360"/>
        <w:jc w:val="both"/>
      </w:pPr>
      <w:r>
        <w:rPr>
          <w:rFonts w:ascii="Traditional Arabic" w:cs="Traditional Arabic" w:eastAsia="Traditional Arabic" w:hAnsi="Traditional Arabic"/>
          <w:sz w:val="32"/>
          <w:szCs w:val="32"/>
          <w:rtl/>
        </w:rPr>
        <w:t xml:space="preserve">وكذلك الإجماع يدل على كثير من القواعد، كقول الفقهاء: «لا اجتهاد مع النص»، أو «لا مساغ للاجتهاد في مورد النص»؛ فقد أجمع العلماء على تقديم النصوص الشرعية على الاجتهاد، فنجد أن قاعدة «لا اجتهاد مع النص» دلّ عليها إجماع أهل العلم. لذا قال شيخ الإسلام ابن تيمية رحمه الله: «اتفق العلماء على أن حكم الحاكم العادل إذا خالف نصًا أو إجماعًا لم يعلمه فهو منقوض».</w:t>
      </w:r>
    </w:p>
    <w:p>
      <w:pPr>
        <w:bidi/>
        <w:spacing w:after="200" w:line="360"/>
        <w:jc w:val="both"/>
      </w:pPr>
      <w:r>
        <w:rPr>
          <w:rFonts w:ascii="Traditional Arabic" w:cs="Traditional Arabic" w:eastAsia="Traditional Arabic" w:hAnsi="Traditional Arabic"/>
          <w:sz w:val="32"/>
          <w:szCs w:val="32"/>
          <w:rtl/>
        </w:rPr>
        <w:t xml:space="preserve">كذلك تُستمد القواعد الفقهية من القياس وأصول الشريعة وتعليلاتها وعموم أدلتها واستقراء أحكامها؛ فقد استدل العلماء على قواعد كثيرة من دلالة القياس، مثل قاعدة «الاستدامة أقوى من الابتداء»، وقاعدة «من تعجّل شيئًا قبل أوانه عوقب بحرمانه»، فهذه أخذها الفقهاء من دلالة القياس وأصول الشريعة العامة. فإن العلماء قد لا يجدون دليلًا نصيًا على القاعدة، ولكن يكتسبونها من مقاصد الشريعة ودلالة أحكامها بمجموعها؛ لأن معنى القاعدة مراد للشارع، ومن ثم يذكرون الأمثلة التطبيقية التي أُخذت من مجموعها القاعدة، وطبّقوها على النوازل.</w:t>
      </w:r>
    </w:p>
    <w:p>
      <w:pPr>
        <w:bidi/>
        <w:spacing w:after="200" w:line="360"/>
        <w:jc w:val="both"/>
      </w:pPr>
      <w:r>
        <w:rPr>
          <w:rFonts w:ascii="Traditional Arabic" w:cs="Traditional Arabic" w:eastAsia="Traditional Arabic" w:hAnsi="Traditional Arabic"/>
          <w:sz w:val="32"/>
          <w:szCs w:val="32"/>
          <w:rtl/>
        </w:rPr>
        <w:t xml:space="preserve">ولسائل أن يسأل: هل يجوز أن تكون القاعدة الفقهية دليلًا بذاتها يُستدل بها على الأحكام التي تندرج تحتها؟</w:t>
      </w:r>
    </w:p>
    <w:p>
      <w:pPr>
        <w:bidi/>
        <w:spacing w:after="200" w:line="360"/>
        <w:jc w:val="both"/>
      </w:pPr>
      <w:r>
        <w:rPr>
          <w:rFonts w:ascii="Traditional Arabic" w:cs="Traditional Arabic" w:eastAsia="Traditional Arabic" w:hAnsi="Traditional Arabic"/>
          <w:sz w:val="32"/>
          <w:szCs w:val="32"/>
          <w:rtl/>
        </w:rPr>
        <w:t xml:space="preserve">نقول: إن القاعدة الفقهية ليست دليلًا بذاتها، وإنما هي قاعدة تلمّ شتات الفروع الفقهية المندرجة تحتها، وإنما هي شواهد يُستأنس بها في ثبوت أحكام الفروع المندرجة تحتها. فالقاعدة الفقهية ليست دليلًا بذاتها، وإنما الدليل في القاعدة الفقهية هو ما استندت إليه القاعدة الفقهية، فهي شواهد يُستأنس بها في ثبوت أحكام الفروع نتيجة قيام الدليل على القاعدة، فتكون عموم الأدلة على القاعدة هي الدليل على الحكم، أو ثبوتها بالاستقراء فيكون الحكم مستقًى من عموم الأدلة على القاعدة. ولكن لما كان كثير من القواعد الفقهية يُستدل لها بالكتاب أو السنة أو إجماع الأمة أصبحت بمثابة الأدلة وقائمة مقامها، ولذا نجد كثيرًا من الأئمة يعلّلون بها للجزم بثبوتها ثبوتًا شرعيًا من الأدلة الشرعية.</w:t>
      </w:r>
    </w:p>
    <w:p>
      <w:pPr>
        <w:bidi/>
        <w:spacing w:after="200" w:line="360"/>
        <w:jc w:val="both"/>
      </w:pPr>
      <w:r>
        <w:rPr>
          <w:rFonts w:ascii="Traditional Arabic" w:cs="Traditional Arabic" w:eastAsia="Traditional Arabic" w:hAnsi="Traditional Arabic"/>
          <w:sz w:val="32"/>
          <w:szCs w:val="32"/>
          <w:rtl/>
        </w:rPr>
        <w:t xml:space="preserve">والقواعد الفقهية علم له فوائد وثمرات كثيرة، ومن أهم هذه الفوائد والثمرات لعلم القواعد الفقهية:</w:t>
      </w:r>
    </w:p>
    <w:p>
      <w:pPr>
        <w:bidi/>
        <w:spacing w:after="200" w:line="360"/>
        <w:jc w:val="both"/>
      </w:pPr>
      <w:r>
        <w:rPr>
          <w:rFonts w:ascii="Traditional Arabic" w:cs="Traditional Arabic" w:eastAsia="Traditional Arabic" w:hAnsi="Traditional Arabic"/>
          <w:sz w:val="32"/>
          <w:szCs w:val="32"/>
          <w:rtl/>
        </w:rPr>
        <w:t xml:space="preserve">أن علم القواعد الفقهية من العلوم الشرعية التي يُتعبّد لله بالاشتغال بها ودراستها.</w:t>
      </w:r>
    </w:p>
    <w:p>
      <w:pPr>
        <w:bidi/>
        <w:spacing w:after="200" w:line="360"/>
        <w:jc w:val="both"/>
      </w:pPr>
      <w:r>
        <w:rPr>
          <w:rFonts w:ascii="Traditional Arabic" w:cs="Traditional Arabic" w:eastAsia="Traditional Arabic" w:hAnsi="Traditional Arabic"/>
          <w:sz w:val="32"/>
          <w:szCs w:val="32"/>
          <w:rtl/>
        </w:rPr>
        <w:t xml:space="preserve">كذلك أن علم القواعد الفقهية ذو أهمية كبرى في التشريع؛ حيث يجمع شتات الفروع المتماثلة في أحكامها في صيغة تقعيدية واحدة تضبط مسائل كثيرة، وأن هذه القواعد تضبط روح الأحكام وتربط بينها، مما يعين طالب العلم على الفهم الشمولي لأحكام الشريعة.</w:t>
      </w:r>
    </w:p>
    <w:p>
      <w:pPr>
        <w:bidi/>
        <w:spacing w:after="200" w:line="360"/>
        <w:jc w:val="both"/>
      </w:pPr>
      <w:r>
        <w:rPr>
          <w:rFonts w:ascii="Traditional Arabic" w:cs="Traditional Arabic" w:eastAsia="Traditional Arabic" w:hAnsi="Traditional Arabic"/>
          <w:sz w:val="32"/>
          <w:szCs w:val="32"/>
          <w:rtl/>
        </w:rPr>
        <w:t xml:space="preserve">أيضًا من فوائد وثمرات علم القواعد الفقهية أنه يربّي في طالب العلم الملكة الفقهية التي تساعده على الإدراك، والملكة الاستدلالية التي تعين على النظر الاجتهادي الذي يُحيل به طالب العلم النوازل إلى ما يماثلها من المسائل.</w:t>
      </w:r>
    </w:p>
    <w:p>
      <w:pPr>
        <w:bidi/>
        <w:spacing w:after="200" w:line="360"/>
        <w:jc w:val="both"/>
      </w:pPr>
      <w:r>
        <w:rPr>
          <w:rFonts w:ascii="Traditional Arabic" w:cs="Traditional Arabic" w:eastAsia="Traditional Arabic" w:hAnsi="Traditional Arabic"/>
          <w:sz w:val="32"/>
          <w:szCs w:val="32"/>
          <w:rtl/>
        </w:rPr>
        <w:t xml:space="preserve">علم القواعد الفقهية أيضًا له دور عظيم في تيسير الفقه على طالب العلم؛ فكلما كان الطالب ضابطًا للقواعد توصّل من خلالها إلى حسن إدراك أحكام الفروع، بل وأبعد من هذا وأوسع: إلى عموم أحكام الشريعة الإسلامية.</w:t>
      </w:r>
    </w:p>
    <w:p>
      <w:pPr>
        <w:bidi/>
        <w:spacing w:after="200" w:line="360"/>
        <w:jc w:val="both"/>
      </w:pPr>
      <w:r>
        <w:rPr>
          <w:rFonts w:ascii="Traditional Arabic" w:cs="Traditional Arabic" w:eastAsia="Traditional Arabic" w:hAnsi="Traditional Arabic"/>
          <w:sz w:val="32"/>
          <w:szCs w:val="32"/>
          <w:rtl/>
        </w:rPr>
        <w:t xml:space="preserve">أيضًا علم القواعد الفقهية له أثر عظيم في استعظام الشريعة الإسلامية وبيان جمالها، بمعرفة شيء من مقاصدها العظيمة وحِكَمها الجليلة وأسرارها البديعة، بما يزيد في إيمان المؤمن، ويُظهر له عظمة هذا الدين، ويقوّي علاقته بربه وعزّته بإسلامه.</w:t>
      </w:r>
    </w:p>
    <w:p>
      <w:pPr>
        <w:bidi/>
        <w:spacing w:after="200" w:line="360"/>
        <w:jc w:val="both"/>
      </w:pPr>
      <w:r>
        <w:rPr>
          <w:rFonts w:ascii="Traditional Arabic" w:cs="Traditional Arabic" w:eastAsia="Traditional Arabic" w:hAnsi="Traditional Arabic"/>
          <w:sz w:val="32"/>
          <w:szCs w:val="32"/>
          <w:rtl/>
        </w:rPr>
        <w:t xml:space="preserve">أيضًا من أهم فوائد القواعد الفقهية أنها تبيّن أن الشريعة الإسلامية مضبوطة بقواعد وضوابط فقهية مؤثرة في استنباط الأحكام وفي فهم الأدلة الشرعية، وفي هذا سدّ لباب التلاعب بالأدلة الشرعية ودلالاتها، وليست كلأً مباحًا لكل من أراد أن يتكلم في الشريعة ويستدل من الكتاب والسنة رأسًا حتى يضبط علمه بعلم القواعد الفقهية المنظِّمة لطريقة الاستدلال والاستنباط.</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2026-10-15T09:49:37.885Z</dcterms:created>
  <dcterms:modified xsi:type="dcterms:W3CDTF">2026-10-15T09:49:37.885Z</dcterms:modified>
</cp:coreProperties>
</file>

<file path=docProps/custom.xml><?xml version="1.0" encoding="utf-8"?>
<Properties xmlns="http://schemas.openxmlformats.org/officeDocument/2006/custom-properties" xmlns:vt="http://schemas.openxmlformats.org/officeDocument/2006/docPropsVTypes"/>
</file>