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6</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وقد سبق أن تكلمنا في حلقات سابقة عن معنى القواعد الفقهية، والفرق بين القاعدة الفقهية والقاعدة الأصولية، وعن أهم الكتب المؤلفة في القواعد الفقهية، سواء كتب المذاهب الأربعة وما جمع فيه أرباب المذاهب القواعد التي تتفرع عليها مسائل فقهية وفق مذهبهم.</w:t>
      </w:r>
    </w:p>
    <w:p>
      <w:pPr>
        <w:bidi/>
        <w:spacing w:after="200" w:line="360"/>
        <w:jc w:val="both"/>
      </w:pPr>
      <w:r>
        <w:rPr>
          <w:rFonts w:ascii="Traditional Arabic" w:cs="Traditional Arabic" w:eastAsia="Traditional Arabic" w:hAnsi="Traditional Arabic"/>
          <w:sz w:val="32"/>
          <w:szCs w:val="32"/>
          <w:rtl/>
        </w:rPr>
        <w:t xml:space="preserve">وقلنا إن القواعد الفقهية منها قواعد خمس كبرى كلية، وهذه القواعد الخمس محل اتفاق بين الفقهاء كلهم، وهي: قاعدة «الأمور بمقاصدها»، وقاعدة «اليقين لا يزول بالشك»، وقاعدة «المشقة تجلب التيسير»، وقاعدة «لا ضرر ولا ضرار»، وقاعدة «العادة محكّمة».</w:t>
      </w:r>
    </w:p>
    <w:p>
      <w:pPr>
        <w:bidi/>
        <w:spacing w:after="200" w:line="360"/>
        <w:jc w:val="both"/>
      </w:pPr>
      <w:r>
        <w:rPr>
          <w:rFonts w:ascii="Traditional Arabic" w:cs="Traditional Arabic" w:eastAsia="Traditional Arabic" w:hAnsi="Traditional Arabic"/>
          <w:sz w:val="32"/>
          <w:szCs w:val="32"/>
          <w:rtl/>
        </w:rPr>
        <w:t xml:space="preserve">فهذه القواعد الخمس هي أشمل القواعد، وتسمى «القواعد الكبرى» أو «قواعد الفقه الكلية الكبرى»، وأُطلق عليها ذلك لأنها محل اتفاق من العلماء على أصلها وعموم القول بها، وإن وقع الخلاف في بعض جزئياتها وتطبيقاتها، لكن كقواعد فهذه القواعد الخمس محل اتفاق عند أهل العلم. وسُمّيت قواعد الفقه الكبرى لبيان شمولها وسعتها في التطبيق الفقهي؛ إذ يندر أن يخلو كتاب أو باب فقهي من فروع لهذه القواعد، ولكثرة التفريعات على هذه القواعد؛ لذا سُمّيت هذه القواعد بقواعد الفقه الكلية الكبرى.</w:t>
      </w:r>
    </w:p>
    <w:p>
      <w:pPr>
        <w:bidi/>
        <w:spacing w:after="200" w:line="360"/>
        <w:jc w:val="both"/>
      </w:pPr>
      <w:r>
        <w:rPr>
          <w:rFonts w:ascii="Traditional Arabic" w:cs="Traditional Arabic" w:eastAsia="Traditional Arabic" w:hAnsi="Traditional Arabic"/>
          <w:sz w:val="32"/>
          <w:szCs w:val="32"/>
          <w:rtl/>
        </w:rPr>
        <w:t xml:space="preserve">وأولها قاعدة «الأمور بمقاصدها». سنتكلم عن هذه القاعدة بشرح مفردات القاعدة، والمعنى الإجمالي للقاعدة، والأمثلة المترتبة على القاعدة.</w:t>
      </w:r>
    </w:p>
    <w:p>
      <w:pPr>
        <w:bidi/>
        <w:spacing w:after="200" w:line="360"/>
        <w:jc w:val="both"/>
      </w:pPr>
      <w:r>
        <w:rPr>
          <w:rFonts w:ascii="Traditional Arabic" w:cs="Traditional Arabic" w:eastAsia="Traditional Arabic" w:hAnsi="Traditional Arabic"/>
          <w:sz w:val="32"/>
          <w:szCs w:val="32"/>
          <w:rtl/>
        </w:rPr>
        <w:t xml:space="preserve">القاعدة تقول: «الأمور بمقاصدها». هذه القاعدة جملة اسمية مكونة من كلمتين: «الأمور»، و«الأمور» جمع أمر، والمقصود به الحال والشأن، فالأمور هي الأحوال والشؤون من القول والفعل، كقول الله تعالى: ﴿وَمَا أَمْرُ فِرْعَوْنَ بِرَشِيدٍ﴾ أي ما حاله بحال رشيدة؛ فالحال والشأن هو معنى الأمور.</w:t>
      </w:r>
    </w:p>
    <w:p>
      <w:pPr>
        <w:bidi/>
        <w:spacing w:after="200" w:line="360"/>
        <w:jc w:val="both"/>
      </w:pPr>
      <w:r>
        <w:rPr>
          <w:rFonts w:ascii="Traditional Arabic" w:cs="Traditional Arabic" w:eastAsia="Traditional Arabic" w:hAnsi="Traditional Arabic"/>
          <w:sz w:val="32"/>
          <w:szCs w:val="32"/>
          <w:rtl/>
        </w:rPr>
        <w:t xml:space="preserve">«الأمور بمقاصدها»: فالمقصود بالأمور هنا عمل الجوارح، ومنها اللسان؛ أي فعله وقوله. فكل هذه الأمور التي تصدر من الإنسان من قول أو فعل هي مرتبطة بمقاصدها، أي قصد الإنسان من هذا الفعل. والقصد هو النية والتوجه والإرادة.</w:t>
      </w:r>
    </w:p>
    <w:p>
      <w:pPr>
        <w:bidi/>
        <w:spacing w:after="200" w:line="360"/>
        <w:jc w:val="both"/>
      </w:pPr>
      <w:r>
        <w:rPr>
          <w:rFonts w:ascii="Traditional Arabic" w:cs="Traditional Arabic" w:eastAsia="Traditional Arabic" w:hAnsi="Traditional Arabic"/>
          <w:sz w:val="32"/>
          <w:szCs w:val="32"/>
          <w:rtl/>
        </w:rPr>
        <w:t xml:space="preserve">فمعنى القاعدة إجمالًا: أن ما نواه الإنسان من هذا القول أو الفعل فله أجره أو عليه وزره. فقاعدة «الأمور بمقاصدها» على وجازة لفظها وقلة كلماتها تُعتبر من جوامع الكلم؛ إذ تشمل كل ما يصدر عن الإنسان من قول أو فعل؛ إذ إن لفظ «الأمور» عام لدخول «أل» عليه، أي كل الأمور، ولفظ «المقاصد» كذلك لفظ عام لأنه مضاف إلى ضمير «بمقاصدها».</w:t>
      </w:r>
    </w:p>
    <w:p>
      <w:pPr>
        <w:bidi/>
        <w:spacing w:after="200" w:line="360"/>
        <w:jc w:val="both"/>
      </w:pPr>
      <w:r>
        <w:rPr>
          <w:rFonts w:ascii="Traditional Arabic" w:cs="Traditional Arabic" w:eastAsia="Traditional Arabic" w:hAnsi="Traditional Arabic"/>
          <w:sz w:val="32"/>
          <w:szCs w:val="32"/>
          <w:rtl/>
        </w:rPr>
        <w:t xml:space="preserve">ومغزى هذه القاعدة: أن أعمال المكلف وتصرفاته التي تصدر منه من قول أو فعل تختلف نتائجها وأحكامها الشرعية باختلاف مقصد الشخص من هذا القول: ما مقصد الشخص من هذا القول؟ ما مقصد الشخص من هذا الفعل؟ ما مقصد الشخص من هذا الأمر؟ هنا يترتب عليه العمل؛ إذ الحكم المترتب على أمر ما يكون على مقتضى المقصود من ذلك الأمر. وكل تصرفات المكلف يحكمها الدافع الذي حمله على هذا الفعل، سواء في ذلك التصرفات الدنيوية أو الأخروية.</w:t>
      </w:r>
    </w:p>
    <w:p>
      <w:pPr>
        <w:bidi/>
        <w:spacing w:after="200" w:line="360"/>
        <w:jc w:val="both"/>
      </w:pPr>
      <w:r>
        <w:rPr>
          <w:rFonts w:ascii="Traditional Arabic" w:cs="Traditional Arabic" w:eastAsia="Traditional Arabic" w:hAnsi="Traditional Arabic"/>
          <w:sz w:val="32"/>
          <w:szCs w:val="32"/>
          <w:rtl/>
        </w:rPr>
        <w:t xml:space="preserve">ولما كانت الأفعال متنوعة: إلى قول وفعل، وحركة وسكون، وجلب نافع ودفع ضار، وفكر، وعادة وعبادة، كان اعتبار القصد بترتيب الأحكام عليه؛ فمن عمل عملًا ولم ينوه ولم يقصده لعارض كنسيان ونحوه أو إكراه، فإن هذا العمل لا تترتب عليه آثاره؛ لأن هذا الأمر لم يُقصد. هذا هو المعنى العام للقاعدة: الأمر يترتب عليه حكم بحسب قصده. هذا هو المعنى المبسط لهذه القاعدة «الأمور بمقاصدها».</w:t>
      </w:r>
    </w:p>
    <w:p>
      <w:pPr>
        <w:bidi/>
        <w:spacing w:after="200" w:line="360"/>
        <w:jc w:val="both"/>
      </w:pPr>
      <w:r>
        <w:rPr>
          <w:rFonts w:ascii="Traditional Arabic" w:cs="Traditional Arabic" w:eastAsia="Traditional Arabic" w:hAnsi="Traditional Arabic"/>
          <w:sz w:val="32"/>
          <w:szCs w:val="32"/>
          <w:rtl/>
        </w:rPr>
        <w:t xml:space="preserve">ما الدليل لهذه القاعدة؟ يدل لهذه القاعدة أدلة كثيرة من الكتاب والسنة:</w:t>
      </w:r>
    </w:p>
    <w:p>
      <w:pPr>
        <w:bidi/>
        <w:spacing w:after="200" w:line="360"/>
        <w:jc w:val="both"/>
      </w:pPr>
      <w:r>
        <w:rPr>
          <w:rFonts w:ascii="Traditional Arabic" w:cs="Traditional Arabic" w:eastAsia="Traditional Arabic" w:hAnsi="Traditional Arabic"/>
          <w:sz w:val="32"/>
          <w:szCs w:val="32"/>
          <w:rtl/>
        </w:rPr>
        <w:t xml:space="preserve">منها قوله تعالى: ﴿وَمَنْ يَخْرُجْ مِنْ بَيْتِهِ مُهَاجِرًا إِلَى اللَّهِ وَرَسُولِهِ ثُمَّ يُدْرِكْهُ الْمَوْتُ فَقَدْ وَقَعَ أَجْرُهُ عَلَى اللَّهِ﴾، فرتّب الله عز وجل الأجر على النية وإن لم يحصل تمام الفعل: ﴿ثُمَّ يُدْرِكْهُ الْمَوْتُ﴾، لكن ما دام خرج من بيته مهاجرًا إلى الله ورسوله – مع أنه لم يتم الفعل، ثم أدركه الموت – فالله عز وجل كتب له الأجر كاملًا؛ لأن نيته وقصده من هذا الخروج هو المهاجرة لله ورسوله.</w:t>
      </w:r>
    </w:p>
    <w:p>
      <w:pPr>
        <w:bidi/>
        <w:spacing w:after="200" w:line="360"/>
        <w:jc w:val="both"/>
      </w:pPr>
      <w:r>
        <w:rPr>
          <w:rFonts w:ascii="Traditional Arabic" w:cs="Traditional Arabic" w:eastAsia="Traditional Arabic" w:hAnsi="Traditional Arabic"/>
          <w:sz w:val="32"/>
          <w:szCs w:val="32"/>
          <w:rtl/>
        </w:rPr>
        <w:t xml:space="preserve">كذلك قوله تعالى: ﴿وَمَا أُمِرُوا إِلَّا لِيَعْبُدُوا اللَّهَ مُخْلِصِينَ لَهُ الدِّينَ حُنَفَاءَ﴾، وقوله تعالى: ﴿فَاعْبُدِ اللَّهَ مُخْلِصًا لَهُ الدِّينَ﴾، فقيّد سبحانه أمره بالعبادة بالإخلاص له فيها، وهذا يدل على أن ذات العبادة غير مقبولة إلا بحسن النية حتى تكون العبادة مقبولة عند الله. فإنك تجد الرجلين يصليان في الصف الواحد وخلف إمام واحد، أحدهما مأجور والآخر مأزور؛ والمأزور من قصد بهذه الأفعال الظاهرة – التي اشترك فيها مع من كانت نيته طيبة وصالحة – أنه فعل هذه الأفعال رياءً وسمعة. فالأمور بمقاصدها؛ هذا قصد وجه الله عز وجل فأُجر، وهذا قصد الرياء والسمعة فأُخذ على نيته.</w:t>
      </w:r>
    </w:p>
    <w:p>
      <w:pPr>
        <w:bidi/>
        <w:spacing w:after="200" w:line="360"/>
        <w:jc w:val="both"/>
      </w:pPr>
      <w:r>
        <w:rPr>
          <w:rFonts w:ascii="Traditional Arabic" w:cs="Traditional Arabic" w:eastAsia="Traditional Arabic" w:hAnsi="Traditional Arabic"/>
          <w:sz w:val="32"/>
          <w:szCs w:val="32"/>
          <w:rtl/>
        </w:rPr>
        <w:t xml:space="preserve">أيضًا من أدلة القاعدة من السنة قوله عليه الصلاة والسلام: «إنما الأعمال بالنيات، وإنما لكل امرئ ما نوى»، فهذا الحديث اشترط النية لصحة العبادة، وقد عظّمه أهل العلم لعظم ما دلّ عليه، حتى قال أبو عبيد: «ليس في أخبار النبي صلى الله عليه وسلم شيء أجمع وأغنى وأكثر فائدة منه»، وقال: إن هذا حديث صحيح متفق على صحته، مُجمع على عظم موقعه وجلالته، وهو أحد قواعد الإيمان وأول دعائمه وآكد الأركان. بل عدّ الإمام الشافعي رحمه الله هذا الحديث ثلث العلم، وكذلك الإمام أحمد وغيرهما. فنجد أن هذا الحديث «إنما الأعمال بالنيات» يدل على أن الأمور بمقاصدها.</w:t>
      </w:r>
    </w:p>
    <w:p>
      <w:pPr>
        <w:bidi/>
        <w:spacing w:after="200" w:line="360"/>
        <w:jc w:val="both"/>
      </w:pPr>
      <w:r>
        <w:rPr>
          <w:rFonts w:ascii="Traditional Arabic" w:cs="Traditional Arabic" w:eastAsia="Traditional Arabic" w:hAnsi="Traditional Arabic"/>
          <w:sz w:val="32"/>
          <w:szCs w:val="32"/>
          <w:rtl/>
        </w:rPr>
        <w:t xml:space="preserve">وكذلك من أدلة هذه القاعدة قوله عليه الصلاة والسلام: «إنك لن تنفق نفقة تبتغي بها وجه الله إلا أُجرت عليها»؛ فهذا ينفق ويؤجر، وهذا ينفق ولا يؤجر، والذي ينفق ويؤجر هو من ابتغى بهذه النفقة وجه الله، فقيّد هذا الحديث الأجر بأن يبتغي به وجه الله عز وجل. فالأمور بمقاصدها، أي بما قصد به الإنسان من هذا العمل أو هذا القول.</w:t>
      </w:r>
    </w:p>
    <w:p>
      <w:pPr>
        <w:bidi/>
        <w:spacing w:after="200" w:line="360"/>
        <w:jc w:val="both"/>
      </w:pPr>
      <w:r>
        <w:rPr>
          <w:rFonts w:ascii="Traditional Arabic" w:cs="Traditional Arabic" w:eastAsia="Traditional Arabic" w:hAnsi="Traditional Arabic"/>
          <w:sz w:val="32"/>
          <w:szCs w:val="32"/>
          <w:rtl/>
        </w:rPr>
        <w:t xml:space="preserve">إن الإنسان حتى لو أنفق على زوجه وأهله وهو يبتغي بذلك وجه الله أُجر عليه؛ قال عليه الصلاة والسلام في حديث أبي مسعود البدري في الصحيحين: «إذا أنفق الرجل على أهله يحتسبها» – يحتسب هذه النفقة – «فهو له صدقة»، فقيّد كون النفقة على الأهل بمنزلة الصدقة إذا احتسبها لله عز وجل. وكذلك حديث سعد بن أبي وقاص السابق: «إنك لن تنفق نفقة تبتغي بها وجه الله إلا أُجرت عليها، حتى ما تجعل في فم امرأتك».</w:t>
      </w:r>
    </w:p>
    <w:p>
      <w:pPr>
        <w:bidi/>
        <w:spacing w:after="200" w:line="360"/>
        <w:jc w:val="both"/>
      </w:pPr>
      <w:r>
        <w:rPr>
          <w:rFonts w:ascii="Traditional Arabic" w:cs="Traditional Arabic" w:eastAsia="Traditional Arabic" w:hAnsi="Traditional Arabic"/>
          <w:sz w:val="32"/>
          <w:szCs w:val="32"/>
          <w:rtl/>
        </w:rPr>
        <w:t xml:space="preserve">ومن هذا الحديث نأخذ فائدة عظيمة: أن الإنسان إذا ذهب يتسوّق ويتبضّع لأهله – يعني ذهب إلى السوق واشترى لأهله ما يحتاجون إليه – نقول: احتسب هذه الأجرة التي تدفعها في شراء هذه البضائع وهذه الأطعمة، احتسب هذا التسوق، وسيأجرك الله عليه: «إنك لن تنفق نفقة تبتغي بها وجه الله إلا أُجرت عليها». وإن كان واجبًا على المرء أن ينفق على من تحت يده، ولكنه إذا ابتغى بذلك وجه الله عز وجل أُجر، وإذا لم يبتغِ بها وجه الله عز وجل سقطت عنه النفقة الواجبة. وهذا يدل على أن النية لها أثر عظيم حتى في الأمور الواجبة على الإنسان، بل حتى في المباحات؛ فإن إنسانًا لو اشترى طيبًا وهو يقصد به أن يحسّن رائحته لم يؤجر ولم يأثم، ولكن لو اشترى طيبًا وقصد به أن يتجمل به للصلاة أو لصلاة الجمعة، أن يمسّ طيبًا للصلاة، فإنه يؤجر على ذلك مع أنه اشترى أمرًا مباحًا. وهذا يدل على عظم النية، وعلى شمول هذه القاعدة «الأمور بمقاصدها».</w:t>
      </w:r>
    </w:p>
    <w:p>
      <w:pPr>
        <w:bidi/>
        <w:spacing w:after="200" w:line="360"/>
        <w:jc w:val="both"/>
      </w:pPr>
      <w:r>
        <w:rPr>
          <w:rFonts w:ascii="Traditional Arabic" w:cs="Traditional Arabic" w:eastAsia="Traditional Arabic" w:hAnsi="Traditional Arabic"/>
          <w:sz w:val="32"/>
          <w:szCs w:val="32"/>
          <w:rtl/>
        </w:rPr>
        <w:t xml:space="preserve">وهذه القاعدة العظيمة المهمة الشاملة تندرج تحتها قواعد كثيرة، منها قولهم: «العبرة في العقود بالمقاصد والمعاني لا بالألفاظ والمباني»؛ يعني الأحكام في المعاملات تُبنى على مقاصدها وأغراضها لا على ظاهر ألفاظها، فالحقيقة في العقد إنما هي ما أراده العاقد. والعقود لا تُشترط لها صيغة معينة ما لم يرد دليل من الشرع على اعتبار صيغة معينة أو اشتراطها، وأن المعتبر ما قصده المتعاقدان؛ فتنعقد البيوع والإجارات ونحوها من المعاملات بكل ما دلّ على مقصودها من قول أو فعل، وليس لذلك صيغة أو فعل محدد. ولذلك فالقصد والنية إذا عُرفت كانت هي المعتبرة.</w:t>
      </w:r>
    </w:p>
    <w:p>
      <w:pPr>
        <w:bidi/>
        <w:spacing w:after="200" w:line="360"/>
        <w:jc w:val="both"/>
      </w:pPr>
      <w:r>
        <w:rPr>
          <w:rFonts w:ascii="Traditional Arabic" w:cs="Traditional Arabic" w:eastAsia="Traditional Arabic" w:hAnsi="Traditional Arabic"/>
          <w:sz w:val="32"/>
          <w:szCs w:val="32"/>
          <w:rtl/>
        </w:rPr>
        <w:t xml:space="preserve">ولذلك لما حرّم الله عز وجل على اليهود الشحوم – وحرّم عليهم هذا الجزء من أجزاء البهيمة – جمّلوه، أي أذابوه، ثم باعوه فأكلوا ثمنه، فاستحقوا العقوبة مع أنهم لم يأكلوا الشحم مباشرة وإنما أكلوا ثمنه، كما قال عليه الصلاة والسلام: «قاتل الله اليهود، إن الله لما حرّم عليهم شحومها جمّلوه ثم باعوه فأكلوا ثمنه». ولو كان التحريم معلّقًا بمجرد اللفظ الظاهر دون مراعاة المقصود ومعناه وكيفيته لم يستحقوا اللعن.</w:t>
      </w:r>
    </w:p>
    <w:p>
      <w:pPr>
        <w:bidi/>
        <w:spacing w:after="200" w:line="360"/>
        <w:jc w:val="both"/>
      </w:pPr>
      <w:r>
        <w:rPr>
          <w:rFonts w:ascii="Traditional Arabic" w:cs="Traditional Arabic" w:eastAsia="Traditional Arabic" w:hAnsi="Traditional Arabic"/>
          <w:sz w:val="32"/>
          <w:szCs w:val="32"/>
          <w:rtl/>
        </w:rPr>
        <w:t xml:space="preserve">كذلك من القواعد المهمة المندرجة تحت قاعدة «الأمور بمقاصدها» قول الفقهاء: «لا ثواب إلا بنية»؛ فالثواب على الأعمال إنما هو مرتبط بنية صاحبها وقصده لهذه العبادة.</w:t>
      </w:r>
    </w:p>
    <w:p>
      <w:pPr>
        <w:bidi/>
        <w:spacing w:after="200" w:line="360"/>
        <w:jc w:val="both"/>
      </w:pPr>
      <w:r>
        <w:rPr>
          <w:rFonts w:ascii="Traditional Arabic" w:cs="Traditional Arabic" w:eastAsia="Traditional Arabic" w:hAnsi="Traditional Arabic"/>
          <w:sz w:val="32"/>
          <w:szCs w:val="32"/>
          <w:rtl/>
        </w:rPr>
        <w:t xml:space="preserve">قال ابن القيم رحمه الله: «وأما العبادات فتأثير النيات في صحتها وفسادها أظهر من أن يحتاج إلى ذكره؛ فإن القربات كلها مبناها على النيات، ولا يكون الفعل عبادة إلا بالنية والقصد». ثم ذكر لهذا أمثلة، قال: لو وقع إنسان في الماء ولم ينوِ القصد، أو دخل الحمّام للتنظف، أو سبح، لم يكن غسله قربة ولا عبادة بالاتفاق، ولا يرتفع بهذا الحدث. فلو أن إنسانًا سبّاحًا كان على جنابة، ثم دخل حوض المسبح للسباحة أو للرياضة أو للتمرين، ثم خرج، ثم تذكّر أن عليه جنابة، وقال: أنا أكتفي بهذا الغسل، لم يصح هذا الغسل منه بالاتفاق؛ لعدم نية رفع الحدث، فإنه لم ينوِ العبادة.</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وتطبيقاتها: لو أن الإنسان أمسك عن المفطرات انشغالًا، أمسك عن المفطرات من طلوع الفجر إلى مغيب الشمس، لم يكن صائمًا وليس له أجر الصيام، أو نوى الإمساك عن المفطرات تطبّبًا لعملية أو لعارض عرض له ولم ينوِ القربة لم يكن صائمًا.</w:t>
      </w:r>
    </w:p>
    <w:p>
      <w:pPr>
        <w:bidi/>
        <w:spacing w:after="200" w:line="360"/>
        <w:jc w:val="both"/>
      </w:pPr>
      <w:r>
        <w:rPr>
          <w:rFonts w:ascii="Traditional Arabic" w:cs="Traditional Arabic" w:eastAsia="Traditional Arabic" w:hAnsi="Traditional Arabic"/>
          <w:sz w:val="32"/>
          <w:szCs w:val="32"/>
          <w:rtl/>
        </w:rPr>
        <w:t xml:space="preserve">كذلك لو دار إنسان حول البيت يلتمس شيئًا سقط منه، يبحث عنه، وطاف سبعة أشواط، قلنا: لا أجر له، لم يكن طائفًا.</w:t>
      </w:r>
    </w:p>
    <w:p>
      <w:pPr>
        <w:bidi/>
        <w:spacing w:after="200" w:line="360"/>
        <w:jc w:val="both"/>
      </w:pPr>
      <w:r>
        <w:rPr>
          <w:rFonts w:ascii="Traditional Arabic" w:cs="Traditional Arabic" w:eastAsia="Traditional Arabic" w:hAnsi="Traditional Arabic"/>
          <w:sz w:val="32"/>
          <w:szCs w:val="32"/>
          <w:rtl/>
        </w:rPr>
        <w:t xml:space="preserve">وكذلك لو أعطى الفقير هبة، قال: هذه هبة، ولم ينوِ الزكاة، لم تُحسب منه زكاة.</w:t>
      </w:r>
    </w:p>
    <w:p>
      <w:pPr>
        <w:bidi/>
        <w:spacing w:after="200" w:line="360"/>
        <w:jc w:val="both"/>
      </w:pPr>
      <w:r>
        <w:rPr>
          <w:rFonts w:ascii="Traditional Arabic" w:cs="Traditional Arabic" w:eastAsia="Traditional Arabic" w:hAnsi="Traditional Arabic"/>
          <w:sz w:val="32"/>
          <w:szCs w:val="32"/>
          <w:rtl/>
        </w:rPr>
        <w:t xml:space="preserve">وكذلك لو جلس إنسان في المسجد مشتغلًا بهاتفه أو ينتظر أحدًا ولم ينوِ الاعتكاف؛ فالأمور بمقاصدها، فإذا قصد العبادة كانت له، وإن لم يقصد العبادة لم يؤجر على هذا العمل.</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2026-10-15T09:49:38.287Z</dcterms:created>
  <dcterms:modified xsi:type="dcterms:W3CDTF">2026-10-15T09:49:38.287Z</dcterms:modified>
</cp:coreProperties>
</file>

<file path=docProps/custom.xml><?xml version="1.0" encoding="utf-8"?>
<Properties xmlns="http://schemas.openxmlformats.org/officeDocument/2006/custom-properties" xmlns:vt="http://schemas.openxmlformats.org/officeDocument/2006/docPropsVTypes"/>
</file>