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spacing w:after="300"/>
        <w:jc w:val="center"/>
      </w:pPr>
      <w:r>
        <w:rPr>
          <w:rFonts w:ascii="Traditional Arabic" w:cs="Traditional Arabic" w:eastAsia="Traditional Arabic" w:hAnsi="Traditional Arabic"/>
          <w:b/>
          <w:bCs/>
          <w:sz w:val="40"/>
          <w:szCs w:val="40"/>
          <w:rtl/>
        </w:rPr>
        <w:t xml:space="preserve">القواعد الفقهية – الحلقة 7</w:t>
      </w:r>
    </w:p>
    <w:p>
      <w:pPr>
        <w:bidi/>
        <w:spacing w:after="200" w:line="360"/>
        <w:jc w:val="both"/>
      </w:pPr>
      <w:r>
        <w:rPr>
          <w:rFonts w:ascii="Traditional Arabic" w:cs="Traditional Arabic" w:eastAsia="Traditional Arabic" w:hAnsi="Traditional Arabic"/>
          <w:sz w:val="32"/>
          <w:szCs w:val="32"/>
          <w:rtl/>
        </w:rPr>
        <w:t xml:space="preserve">بسم الله الرحمن الرحيم، الحمد لله رب العالمين، وصلى الله وسلم وبارك على عبده ورسوله نبينا وإمامنا وقدوتنا محمد بن عبد الله، وعلى آله وصحبه ومن سلك سبيله واهتدى بهديه إلى يوم الدين.</w:t>
      </w:r>
    </w:p>
    <w:p>
      <w:pPr>
        <w:bidi/>
        <w:spacing w:after="200" w:line="360"/>
        <w:jc w:val="both"/>
      </w:pPr>
      <w:r>
        <w:rPr>
          <w:rFonts w:ascii="Traditional Arabic" w:cs="Traditional Arabic" w:eastAsia="Traditional Arabic" w:hAnsi="Traditional Arabic"/>
          <w:sz w:val="32"/>
          <w:szCs w:val="32"/>
          <w:rtl/>
        </w:rPr>
        <w:t xml:space="preserve">اللهم علّمنا ما ينفعنا، وانفعنا بما علّمتنا، واجعل ما علّمتنا حجة لنا لا حجة علينا. اللهم نوّر بصائرنا بنور العلم والإيمان، واجعلنا اللهم هداة مهتدين، غير ضالين ولا مضلين.</w:t>
      </w:r>
    </w:p>
    <w:p>
      <w:pPr>
        <w:bidi/>
        <w:spacing w:after="200" w:line="360"/>
        <w:jc w:val="both"/>
      </w:pPr>
      <w:r>
        <w:rPr>
          <w:rFonts w:ascii="Traditional Arabic" w:cs="Traditional Arabic" w:eastAsia="Traditional Arabic" w:hAnsi="Traditional Arabic"/>
          <w:sz w:val="32"/>
          <w:szCs w:val="32"/>
          <w:rtl/>
        </w:rPr>
        <w:t xml:space="preserve">حيّاكم الله أيها الإخوة والأخوات المستمعون في كل مكان، عبر أثير إذاعة القرآن الكريم من دولة الكويت، في برنامج «القواعد الفقهية».</w:t>
      </w:r>
    </w:p>
    <w:p>
      <w:pPr>
        <w:bidi/>
        <w:spacing w:after="200" w:line="360"/>
        <w:jc w:val="both"/>
      </w:pPr>
      <w:r>
        <w:rPr>
          <w:rFonts w:ascii="Traditional Arabic" w:cs="Traditional Arabic" w:eastAsia="Traditional Arabic" w:hAnsi="Traditional Arabic"/>
          <w:sz w:val="32"/>
          <w:szCs w:val="32"/>
          <w:rtl/>
        </w:rPr>
        <w:t xml:space="preserve">وقد سبق أن أخذنا شيئًا من قاعدة «الأمور بمقاصدها»، وبيّنّا معناها اللغوي وفي الاصطلاح الفقهي، وبيّنّا أن هذه القاعدة معناها باختصار وتبسيط: أن الحكم الذي يترتب على أمر يكون على مقتضى المقصود من ذلك الأمر. ومعنى هذا أن أعمال المكلف وتصرفاته القولية أو الفعلية تترتب على ما قصده ذلك المكلف، فالأمر بما قصده المكلف.</w:t>
      </w:r>
    </w:p>
    <w:p>
      <w:pPr>
        <w:bidi/>
        <w:spacing w:after="200" w:line="360"/>
        <w:jc w:val="both"/>
      </w:pPr>
      <w:r>
        <w:rPr>
          <w:rFonts w:ascii="Traditional Arabic" w:cs="Traditional Arabic" w:eastAsia="Traditional Arabic" w:hAnsi="Traditional Arabic"/>
          <w:sz w:val="32"/>
          <w:szCs w:val="32"/>
          <w:rtl/>
        </w:rPr>
        <w:t xml:space="preserve">فمن قتل شخصًا مثلًا بغير مسوّغ شرعي، إذا كان عامدًا فلفعله حكم وهو القَوَد والقصاص، وإن كان مخطئًا فله حكم آخر؛ فهذا بحسب المقصد، ويتضح ذلك من قرائن الحال.</w:t>
      </w:r>
    </w:p>
    <w:p>
      <w:pPr>
        <w:bidi/>
        <w:spacing w:after="200" w:line="360"/>
        <w:jc w:val="both"/>
      </w:pPr>
      <w:r>
        <w:rPr>
          <w:rFonts w:ascii="Traditional Arabic" w:cs="Traditional Arabic" w:eastAsia="Traditional Arabic" w:hAnsi="Traditional Arabic"/>
          <w:sz w:val="32"/>
          <w:szCs w:val="32"/>
          <w:rtl/>
        </w:rPr>
        <w:t xml:space="preserve">فقاعدة «الأمور بمقاصدها» لها أمثلة كثيرة وتطبيقات متعددة، وتنفع في القضاء، وتنفع في حكم الإنسان على أفعاله وأفعال غيره.</w:t>
      </w:r>
    </w:p>
    <w:p>
      <w:pPr>
        <w:bidi/>
        <w:spacing w:after="200" w:line="360"/>
        <w:jc w:val="both"/>
      </w:pPr>
      <w:r>
        <w:rPr>
          <w:rFonts w:ascii="Traditional Arabic" w:cs="Traditional Arabic" w:eastAsia="Traditional Arabic" w:hAnsi="Traditional Arabic"/>
          <w:sz w:val="32"/>
          <w:szCs w:val="32"/>
          <w:rtl/>
        </w:rPr>
        <w:t xml:space="preserve">فمثلًا طلب العلم تختلف نتائجه باختلاف مقصد الشخص ونيته من ورائه؛ فمن كان قصده ونيته بطلبه للعلم الشرعي أمور الدنيا كان طلبه للعلم حرامًا، وعوقب على ذلك بأن لا يجد رائحة الجنة كما جاء في الحديث. ومن كان قصده من طلبه للعلم ابتغاء وجه الله عز وجل، وامتثال أمره، ونشر شريعته، والتفقه في الدين، والعمل بهذا العلم، أُثيب على طلبه لهذا العلم أعظم الثواب.</w:t>
      </w:r>
    </w:p>
    <w:p>
      <w:pPr>
        <w:bidi/>
        <w:spacing w:after="200" w:line="360"/>
        <w:jc w:val="both"/>
      </w:pPr>
      <w:r>
        <w:rPr>
          <w:rFonts w:ascii="Traditional Arabic" w:cs="Traditional Arabic" w:eastAsia="Traditional Arabic" w:hAnsi="Traditional Arabic"/>
          <w:sz w:val="32"/>
          <w:szCs w:val="32"/>
          <w:rtl/>
        </w:rPr>
        <w:t xml:space="preserve">وكذلك الممسك عن الطعام، إن كان إمساكه حمية أو استجابة لأمر الطبيب – مع أنه لم يأكل ولم يشرب ولم يقرب المفطرات من طلوع الفجر إلى غروب الشمس – فهذا أمر مباح لا ثواب عليه ولا عقاب. أما إن كان إمساكه عن الطعام بقصد القربة لله عز وجل، ومنع نفسه من هذا الحلال طاعة لله عز وجل، فإنه يؤجر على فعله ذلك؛ لأن الأمر الذي صدر منه بحسب المقصد.</w:t>
      </w:r>
    </w:p>
    <w:p>
      <w:pPr>
        <w:bidi/>
        <w:spacing w:after="200" w:line="360"/>
        <w:jc w:val="both"/>
      </w:pPr>
      <w:r>
        <w:rPr>
          <w:rFonts w:ascii="Traditional Arabic" w:cs="Traditional Arabic" w:eastAsia="Traditional Arabic" w:hAnsi="Traditional Arabic"/>
          <w:sz w:val="32"/>
          <w:szCs w:val="32"/>
          <w:rtl/>
        </w:rPr>
        <w:t xml:space="preserve">كذلك تجد الرجلين يُهديان، يعني من أهدى إلى آخر هدية؛ فإذا كان الباعث له على تلك الهدية المحبة والمودة في الله عز وجل كان مأجورًا، وأما إن كان قصده من وراء هديته إبطال حق أو إحقاق باطل فهديته رشوة، وهي حرام يعاقب عليها.</w:t>
      </w:r>
    </w:p>
    <w:p>
      <w:pPr>
        <w:bidi/>
        <w:spacing w:after="200" w:line="360"/>
        <w:jc w:val="both"/>
      </w:pPr>
      <w:r>
        <w:rPr>
          <w:rFonts w:ascii="Traditional Arabic" w:cs="Traditional Arabic" w:eastAsia="Traditional Arabic" w:hAnsi="Traditional Arabic"/>
          <w:sz w:val="32"/>
          <w:szCs w:val="32"/>
          <w:rtl/>
        </w:rPr>
        <w:t xml:space="preserve">فالمقصود من هذا أن العبرة في كل الأمور التي تصدر من الإنسان من أقوال أو أفعال هي بباعث القلب ونيته وقصده من ذلك التصرف. وهذه القاعدة «الأمور بمقاصدها» تبيّن لنا أهمية النية في الشريعة الإسلامية، وعظم شأن النية والباعث في أقوال الإنسان وأفعاله، وهذا يبيّن لنا أن الإسلام إنما يربّي أتباعه تربية ذاتية ومراقبة ذاتية، بأن تنبعث أفعالهم وأقوالهم بحسب نياتهم؛ ولذلك توجّه الإسلام إلى إصلاح النية وإصلاح القصد، حتى يكون عمل الإنسان مُثابًا عليه عند الله عز وجل، ويكون قوله له أجر عند الله عز وجل.</w:t>
      </w:r>
    </w:p>
    <w:p>
      <w:pPr>
        <w:bidi/>
        <w:spacing w:after="200" w:line="360"/>
        <w:jc w:val="both"/>
      </w:pPr>
      <w:r>
        <w:rPr>
          <w:rFonts w:ascii="Traditional Arabic" w:cs="Traditional Arabic" w:eastAsia="Traditional Arabic" w:hAnsi="Traditional Arabic"/>
          <w:sz w:val="32"/>
          <w:szCs w:val="32"/>
          <w:rtl/>
        </w:rPr>
        <w:t xml:space="preserve">لذلك جاءت الشريعة بالحرص والتأكيد على نية الإنسان في عمله؛ قال عليه الصلاة والسلام لما قيل له: الرجل يقاتل للمغنم، والرجل يقاتل للذكر، والرجل يقاتل ليُرى مكانه، فمن في سبيل الله؟ قال: «من قاتل لتكون كلمة الله هي العليا فهو في سبيل الله»، فردّ الأمر إلى ما كان في النية والقصد.</w:t>
      </w:r>
    </w:p>
    <w:p>
      <w:pPr>
        <w:bidi/>
        <w:spacing w:after="200" w:line="360"/>
        <w:jc w:val="both"/>
      </w:pPr>
      <w:r>
        <w:rPr>
          <w:rFonts w:ascii="Traditional Arabic" w:cs="Traditional Arabic" w:eastAsia="Traditional Arabic" w:hAnsi="Traditional Arabic"/>
          <w:sz w:val="32"/>
          <w:szCs w:val="32"/>
          <w:rtl/>
        </w:rPr>
        <w:t xml:space="preserve">والمقصود من النية أمران:</w:t>
      </w:r>
    </w:p>
    <w:p>
      <w:pPr>
        <w:bidi/>
        <w:spacing w:after="200" w:line="360"/>
        <w:jc w:val="both"/>
      </w:pPr>
      <w:r>
        <w:rPr>
          <w:rFonts w:ascii="Traditional Arabic" w:cs="Traditional Arabic" w:eastAsia="Traditional Arabic" w:hAnsi="Traditional Arabic"/>
          <w:sz w:val="32"/>
          <w:szCs w:val="32"/>
          <w:rtl/>
        </w:rPr>
        <w:t xml:space="preserve">الأمر الأول: أن النية تميّز العبادات عن العادات؛ فالإمساك عن الطعام والشراب قد يفعله الإنسان تطبّبًا فهذه عادة، وقد يفعله بنية العبادة في وقتها، فالنية تميّز العادة عن العبادة. والمال يدفعه اثنان: أحدهما للشهرة والسمعة فلا ينفعه بشيء، ويبذل الآخر هذا المال ويدفعه ابتغاء مرضاة الله فيُثاب على هذا الفعل، مع أن ظاهر العمل واحد: هذا دفع مالًا وهذا دفع مالًا، وهذا يؤجر وهذا لا يؤجر، بحسب ما قام في نيته. لذا حذّر الله عباده في كتابه فقال: ﴿وَاعْلَمُوا أَنَّ اللَّهَ يَعْلَمُ مَا فِي أَنْفُسِكُمْ فَاحْذَرُوهُ﴾. فالله عز وجل يوم القيامة إنما يحاسب الناس على ما استكنّ في قلوبهم لا على ظاهر أعمالهم: ﴿يَوْمَ تُبْلَى السَّرَائِرُ﴾، فسريرة الإنسان يوم القيامة هي المنجية له أو المهلكة له في الميزان في الآخرة. أما في أمور الدنيا فإن الناس يعاملون الإنسان بما ظهر منه، فإذا دلّت القرائن على أنه قصد بهذا الفعل – بقرائن الحال – أنه أراد سوءًا بأحد، فإنه يُعامل بهذا السوء بحسب ما يحتفّ به من قرائن.</w:t>
      </w:r>
    </w:p>
    <w:p>
      <w:pPr>
        <w:bidi/>
        <w:spacing w:after="200" w:line="360"/>
        <w:jc w:val="both"/>
      </w:pPr>
      <w:r>
        <w:rPr>
          <w:rFonts w:ascii="Traditional Arabic" w:cs="Traditional Arabic" w:eastAsia="Traditional Arabic" w:hAnsi="Traditional Arabic"/>
          <w:sz w:val="32"/>
          <w:szCs w:val="32"/>
          <w:rtl/>
        </w:rPr>
        <w:t xml:space="preserve">الأمر الثاني: كذلك من مسائل هذه القاعدة «الأمور بمقاصدها»: أن النية تميّز العبادات بعضها عن بعض؛ لأنه قد تتحد صورة العبادات مع تنوعها من حيث الحكم والوقت، كالصلاة أربعًا للظهر والعصر والعشاء، والصلاة ركعتين للفجر وراتبتها؛ فالنية هي التي تميّز العبادة وتعيّنها. فنجد أن الرجل يصلي والآخر يصلي ركعتين، هذا نوى بها سنة الفجر وهذا نوى بها فريضة الفجر، فالذي اختلف بذلك وميّز هذا عن هذا هو النية.</w:t>
      </w:r>
    </w:p>
    <w:p>
      <w:pPr>
        <w:bidi/>
        <w:spacing w:after="200" w:line="360"/>
        <w:jc w:val="both"/>
      </w:pPr>
      <w:r>
        <w:rPr>
          <w:rFonts w:ascii="Traditional Arabic" w:cs="Traditional Arabic" w:eastAsia="Traditional Arabic" w:hAnsi="Traditional Arabic"/>
          <w:sz w:val="32"/>
          <w:szCs w:val="32"/>
          <w:rtl/>
        </w:rPr>
        <w:t xml:space="preserve">قال ابن القيم رحمه الله: «وقاعدة الشريعة التي لا يجوز هدمها أن المقاصد والاعتقادات معتبرة في التصرفات والعبارات، كما هي معتبرة في التقربات والعبادات؛ فالقصد والنية والاعتقاد يجعل الشيء حلالًا أو حرامًا، وصحيحًا أو فاسدًا، وطاعة أو معصية، كما أن القصد في العبادة يجعلها واجبة أو مستحبة أو محرمة أو صحيحة أو فاسدة».</w:t>
      </w:r>
    </w:p>
    <w:p>
      <w:pPr>
        <w:bidi/>
        <w:spacing w:after="200" w:line="360"/>
        <w:jc w:val="both"/>
      </w:pPr>
      <w:r>
        <w:rPr>
          <w:rFonts w:ascii="Traditional Arabic" w:cs="Traditional Arabic" w:eastAsia="Traditional Arabic" w:hAnsi="Traditional Arabic"/>
          <w:sz w:val="32"/>
          <w:szCs w:val="32"/>
          <w:rtl/>
        </w:rPr>
        <w:t xml:space="preserve">ومحل النية لا شك أنه القلب، ولم يرد أن النبي عليه الصلاة والسلام ولا صحابته تلفّظوا بنياتهم.</w:t>
      </w:r>
    </w:p>
    <w:p>
      <w:pPr>
        <w:bidi/>
        <w:spacing w:after="200" w:line="360"/>
        <w:jc w:val="both"/>
      </w:pPr>
      <w:r>
        <w:rPr>
          <w:rFonts w:ascii="Traditional Arabic" w:cs="Traditional Arabic" w:eastAsia="Traditional Arabic" w:hAnsi="Traditional Arabic"/>
          <w:sz w:val="32"/>
          <w:szCs w:val="32"/>
          <w:rtl/>
        </w:rPr>
        <w:t xml:space="preserve">ولعظم هذه القاعدة «الأمور بمقاصدها» رتّب الشارع الإثابة على النية؛ فإنه يتوقف حصول الثواب على قصد القربة بهذا الفعل أو هذا القول، وليس هذا في فعل الواجبات والمندوبات وترك المحرمات والمكروهات فحسب، بل حتى المباحات؛ حتى الأمر المباح قد يؤجر الإنسان عليه إذا صاحب عمله لهذا المباح نية صالحة تقرّب بها إلى الله عز وجل، كمن يبكّر في نومه ليستعين بهذا النوم على قيام الليل والاستيقاظ لصلاة الفجر، فإنه يؤجر على نومه، كما جاء عن بعض الصحابة أنه يحتسب نومته للتقوّي على طاعة الله عز وجل.</w:t>
      </w:r>
    </w:p>
    <w:p>
      <w:pPr>
        <w:bidi/>
        <w:spacing w:after="200" w:line="360"/>
        <w:jc w:val="both"/>
      </w:pPr>
      <w:r>
        <w:rPr>
          <w:rFonts w:ascii="Traditional Arabic" w:cs="Traditional Arabic" w:eastAsia="Traditional Arabic" w:hAnsi="Traditional Arabic"/>
          <w:sz w:val="32"/>
          <w:szCs w:val="32"/>
          <w:rtl/>
        </w:rPr>
        <w:t xml:space="preserve">وكذلك يفعل العبد أمرًا مباحًا في ظاهره، لكن قصد به أمرًا محرمًا، فيكون هذا أمرًا محرمًا، كمن يشتري مثلًا السكين وهو يريد أن يقتل به معصومًا أو يجرح به معصومًا؛ فمع أن الأصل في شراء هذه الآلات أنه مباح، لكن لما قصد به حرامًا كان فعله حرامًا.</w:t>
      </w:r>
    </w:p>
    <w:p>
      <w:pPr>
        <w:bidi/>
        <w:spacing w:after="200" w:line="360"/>
        <w:jc w:val="both"/>
      </w:pPr>
      <w:r>
        <w:rPr>
          <w:rFonts w:ascii="Traditional Arabic" w:cs="Traditional Arabic" w:eastAsia="Traditional Arabic" w:hAnsi="Traditional Arabic"/>
          <w:sz w:val="32"/>
          <w:szCs w:val="32"/>
          <w:rtl/>
        </w:rPr>
        <w:t xml:space="preserve">فلا ثواب في الشريعة إلا بالنية. والعبادات نوعان:</w:t>
      </w:r>
    </w:p>
    <w:p>
      <w:pPr>
        <w:bidi/>
        <w:spacing w:after="200" w:line="360"/>
        <w:jc w:val="both"/>
      </w:pPr>
      <w:r>
        <w:rPr>
          <w:rFonts w:ascii="Traditional Arabic" w:cs="Traditional Arabic" w:eastAsia="Traditional Arabic" w:hAnsi="Traditional Arabic"/>
          <w:sz w:val="32"/>
          <w:szCs w:val="32"/>
          <w:rtl/>
        </w:rPr>
        <w:t xml:space="preserve">مأمور بها، كالصلاة والصوم والزكاة والصدقة والنوافل وغيرها، فهذه لا بد لها من نية، وهي شرط لصحتها، وشرط لحصول الثواب على الفعل.</w:t>
      </w:r>
    </w:p>
    <w:p>
      <w:pPr>
        <w:bidi/>
        <w:spacing w:after="200" w:line="360"/>
        <w:jc w:val="both"/>
      </w:pPr>
      <w:r>
        <w:rPr>
          <w:rFonts w:ascii="Traditional Arabic" w:cs="Traditional Arabic" w:eastAsia="Traditional Arabic" w:hAnsi="Traditional Arabic"/>
          <w:sz w:val="32"/>
          <w:szCs w:val="32"/>
          <w:rtl/>
        </w:rPr>
        <w:t xml:space="preserve">وهناك أمور منهيّ عنها، بأن يكون المقصود تركها، كالمحرمات من الزنا والسرقة وشرب الخمر، وكإزالة النجاسات؛ فهذه لا يشترط لها نية، فتحصل الإزالة وتبرأ ذمته ولو لم ينوِ. ولو دفع دينًا عليه فإنه تبرأ ذمته من هذا الواجب ولو لم ينوِ سداد الدين.</w:t>
      </w:r>
    </w:p>
    <w:p>
      <w:pPr>
        <w:bidi/>
        <w:spacing w:after="200" w:line="360"/>
        <w:jc w:val="both"/>
      </w:pPr>
      <w:r>
        <w:rPr>
          <w:rFonts w:ascii="Traditional Arabic" w:cs="Traditional Arabic" w:eastAsia="Traditional Arabic" w:hAnsi="Traditional Arabic"/>
          <w:sz w:val="32"/>
          <w:szCs w:val="32"/>
          <w:rtl/>
        </w:rPr>
        <w:t xml:space="preserve">أما حصول الثواب على ترك الزنا أو السرقة أو إزالة النجاسة فهذا مشروط بنية التقرب إلى الله تعالى بترك المنهي عنه، كما قال شيخ الإسلام ابن تيمية: «الأمور إذا قصد تركها لله أُثيب»؛ أي قصد أنه يترك الزنا طاعة لله عز وجل. أما إن كان تاركًا للزنا لكن لم يخطر بقلبه أنه يقصد تركه لله، أو تركه لأنه مبتعد عن هذا الأمر، قال: فهذا لم يُثب ولم يُعاقب؛ «وإن لم يخطر بقلبه قصد تركه لم يُثب ولم يُعاقب». ولو كان ناويًا الترك لله عز وجل فإنه يُثاب على هذا الترك بهذه النية.</w:t>
      </w:r>
    </w:p>
    <w:p>
      <w:pPr>
        <w:bidi/>
        <w:spacing w:after="200" w:line="360"/>
        <w:jc w:val="both"/>
      </w:pPr>
      <w:r>
        <w:rPr>
          <w:rFonts w:ascii="Traditional Arabic" w:cs="Traditional Arabic" w:eastAsia="Traditional Arabic" w:hAnsi="Traditional Arabic"/>
          <w:sz w:val="32"/>
          <w:szCs w:val="32"/>
          <w:rtl/>
        </w:rPr>
        <w:t xml:space="preserve">فهذا يبيّن أن أمر النية عظيم جدًا في الإسلام؛ فهو يصحّح العبادات، ويميّز بين العادة والعبادة، وبين العبادات بعضها عن بعض.</w:t>
      </w:r>
    </w:p>
    <w:p>
      <w:pPr>
        <w:bidi/>
        <w:spacing w:after="200" w:line="360"/>
        <w:jc w:val="both"/>
      </w:pPr>
      <w:r>
        <w:rPr>
          <w:rFonts w:ascii="Traditional Arabic" w:cs="Traditional Arabic" w:eastAsia="Traditional Arabic" w:hAnsi="Traditional Arabic"/>
          <w:sz w:val="32"/>
          <w:szCs w:val="32"/>
          <w:rtl/>
        </w:rPr>
        <w:t xml:space="preserve">والفروع الفقهية المندرجة تحت قاعدة «الأمور بمقاصدها» والقواعد المندرجة تحت هذه القاعدة – كقاعدة «لا ثواب إلا بنية» – كثيرة، من ذلك أن جميع العبادات التي يتقرب بها العبد إلى ربه وخالقه لا بد فيها من النية والقصد.</w:t>
      </w:r>
    </w:p>
    <w:p>
      <w:pPr>
        <w:bidi/>
        <w:spacing w:after="200" w:line="360"/>
        <w:jc w:val="both"/>
      </w:pPr>
      <w:r>
        <w:rPr>
          <w:rFonts w:ascii="Traditional Arabic" w:cs="Traditional Arabic" w:eastAsia="Traditional Arabic" w:hAnsi="Traditional Arabic"/>
          <w:sz w:val="32"/>
          <w:szCs w:val="32"/>
          <w:rtl/>
        </w:rPr>
        <w:t xml:space="preserve">فمثال ذلك: من أخذ نفقة ليحج عن الغير؛ فإن كان مقصوده الإحسان إلى هذا الغير، أي المحجوج عنه، أو قصد نفس الحج وشهود المشاهد مع الناس وليس معه نفقة، فأخذ هذه النفقة ليحضر المشاهد ويُسقط هذا الفرض – هذا الحج – عن هذا المحجوج عنه، فهذا محسن، وفعله محتسب بذلك. كذلك لو كان توّاقًا للحج وليس عنده نفقة، فأعطاه غيره نفقة ليحج، فهو محسن في هذا ومأجور على هذه النية.</w:t>
      </w:r>
    </w:p>
    <w:p>
      <w:pPr>
        <w:bidi/>
        <w:spacing w:after="200" w:line="360"/>
        <w:jc w:val="both"/>
      </w:pPr>
      <w:r>
        <w:rPr>
          <w:rFonts w:ascii="Traditional Arabic" w:cs="Traditional Arabic" w:eastAsia="Traditional Arabic" w:hAnsi="Traditional Arabic"/>
          <w:sz w:val="32"/>
          <w:szCs w:val="32"/>
          <w:rtl/>
        </w:rPr>
        <w:t xml:space="preserve">أما من أخذ المال ليحج عن الغير بقصد الاكتساب والحصول على المال، لا يهمه أن يحضر هذه المشاهد وأن يقف بعرفة أو أن يطوف بالبيت، وإنما قصده المال، فهذا العمل المعمول ليس لله عز وجل، بل هو للدنيا، وإذا كان للدنيا – وهو في الأصل عمل مشروع – فلا يكون عملًا صالحًا إذا كان قاصدًا به المال فقط، ومن أراد الدنيا بعمل الآخرة فليس له في الآخرة من خلاق. والمستحب أن يأخذ المال ليحج، لا أن يحج ليأخذ المال.</w:t>
      </w:r>
    </w:p>
    <w:p>
      <w:pPr>
        <w:bidi/>
        <w:spacing w:after="200" w:line="360"/>
        <w:jc w:val="both"/>
      </w:pPr>
      <w:r>
        <w:rPr>
          <w:rFonts w:ascii="Traditional Arabic" w:cs="Traditional Arabic" w:eastAsia="Traditional Arabic" w:hAnsi="Traditional Arabic"/>
          <w:sz w:val="32"/>
          <w:szCs w:val="32"/>
          <w:rtl/>
        </w:rPr>
        <w:t xml:space="preserve">فنجد أن قاعدة «الأمور بمقاصدها» تدخل في أبواب كثيرة من أبواب الفقه: في القضاء، وفي الطلاق، وفي النكاح، وفي العبادات، وفي أفعال الإنسان الخاصة بنفسه، وفي العقود، وفي المعاوضات والتصرفات؛ كل ذلك مرتبط بقصد الإنسان.</w:t>
      </w:r>
    </w:p>
    <w:p>
      <w:pPr>
        <w:bidi/>
        <w:spacing w:after="200" w:line="360"/>
        <w:jc w:val="both"/>
      </w:pPr>
      <w:r>
        <w:rPr>
          <w:rFonts w:ascii="Traditional Arabic" w:cs="Traditional Arabic" w:eastAsia="Traditional Arabic" w:hAnsi="Traditional Arabic"/>
          <w:sz w:val="32"/>
          <w:szCs w:val="32"/>
          <w:rtl/>
        </w:rPr>
        <w:t xml:space="preserve">كذلك الطلاق مثلًا: إن علّقه الإنسان بفعل، كقوله: إن فعلت امرأتي كذا فهي طالق، فإن كان قصده بهذا التهديد واليمين فهو يمين، حكمه حكم اليمين الذي بصيغة القسم، فكأنه يقول: والله إن فعلتِ كذا سأطلقك؛ فهذا يكون حكمه حكم اليمين، مع أن ظاهر اللفظ هو التطليق: «إن فعلتِ كذا فأنت طالق»، «إن فعلت كذا فامرأتي طالق»، فهذا حكمه حكم اليمين إن قصد به اليمين. وإن قصد إيقاع الطلاق فعلًا، فقال: إن فعلتِ كذا فأنتِ طالق، يريد فراقها، ونيته أنها تطلق، هنا يقع الطلاق إذا وُجد هذا الشرط الذي عُلّق عليه الطلاق. ومن هنا نتبين أيضًا عظم هذه القاعدة «الأمور بمقاصدها».</w:t>
      </w:r>
    </w:p>
    <w:p>
      <w:pPr>
        <w:bidi/>
        <w:spacing w:after="200" w:line="360"/>
        <w:jc w:val="both"/>
      </w:pPr>
      <w:r>
        <w:rPr>
          <w:rFonts w:ascii="Traditional Arabic" w:cs="Traditional Arabic" w:eastAsia="Traditional Arabic" w:hAnsi="Traditional Arabic"/>
          <w:sz w:val="32"/>
          <w:szCs w:val="32"/>
          <w:rtl/>
        </w:rPr>
        <w:t xml:space="preserve">لذلك اندرجت تحتها وانتظمت تحتها قواعد كثيرة، منها قول الفقهاء: «من كان عازمًا على الفعل عزمًا جازمًا، وفعل ما يقدر عليه منه، كان بمنزلة الفاعل»؛ أي من كان عازمًا على الفعل عزمًا جازمًا، وفعل ما يقدر عليه من هذا الفعل، ولم يفعله تامًا، قالوا: كان بمنزلة الفاعل، وهذا من فضل الله تعالى ومجازاته منه سبحانه بالقصد والنية وإن لم يعمل العمل كاملًا.</w:t>
      </w:r>
    </w:p>
    <w:p>
      <w:pPr>
        <w:bidi/>
        <w:spacing w:after="200" w:line="360"/>
        <w:jc w:val="both"/>
      </w:pPr>
      <w:r>
        <w:rPr>
          <w:rFonts w:ascii="Traditional Arabic" w:cs="Traditional Arabic" w:eastAsia="Traditional Arabic" w:hAnsi="Traditional Arabic"/>
          <w:sz w:val="32"/>
          <w:szCs w:val="32"/>
          <w:rtl/>
        </w:rPr>
        <w:t xml:space="preserve">يدل على ذلك قول الله عز وجل: ﴿وَمَنْ يَخْرُجْ مِنْ بَيْتِهِ مُهَاجِرًا إِلَى اللَّهِ وَرَسُولِهِ﴾، أي وهو مهاجر، ﴿ثُمَّ يُدْرِكْهُ الْمَوْتُ﴾ في أثناء هجرته أو عند عزمه على الهجرة، ﴿فَقَدْ وَقَعَ أَجْرُهُ عَلَى اللَّهِ وَكَانَ اللَّهُ غَفُورًا رَحِيمًا﴾. قال القرطبي: «النية الصادقة هي أصل الأعمال، فإذا صحّت في فعل طاعة فعجز عنها صاحبها لمانع منع منها، فلا بد أن يؤجر على هذا أجرًا كاملًا، ويُساوى بأجر العامل»؛ لأنه عزم على هذا الفعل، وإنما منعه من ذلك مانع.</w:t>
      </w:r>
    </w:p>
    <w:p>
      <w:pPr>
        <w:bidi/>
        <w:spacing w:after="200" w:line="360"/>
        <w:jc w:val="both"/>
      </w:pPr>
      <w:r>
        <w:rPr>
          <w:rFonts w:ascii="Traditional Arabic" w:cs="Traditional Arabic" w:eastAsia="Traditional Arabic" w:hAnsi="Traditional Arabic"/>
          <w:sz w:val="32"/>
          <w:szCs w:val="32"/>
          <w:rtl/>
        </w:rPr>
        <w:t xml:space="preserve">وجاء عن النبي عليه الصلاة والسلام في الحديث المروي عنه: «نية المؤمن خير من عمله»، وهذا يُروى عن النبي عليه الصلاة والسلام، وأصل هذه اللفظة صحيح من حيث المعنى، وإن كان في رفعه إلى النبي عليه الصلاة والسلام كلام.</w:t>
      </w:r>
    </w:p>
    <w:p>
      <w:pPr>
        <w:bidi/>
        <w:spacing w:after="200" w:line="360"/>
        <w:jc w:val="both"/>
      </w:pPr>
      <w:r>
        <w:rPr>
          <w:rFonts w:ascii="Traditional Arabic" w:cs="Traditional Arabic" w:eastAsia="Traditional Arabic" w:hAnsi="Traditional Arabic"/>
          <w:sz w:val="32"/>
          <w:szCs w:val="32"/>
          <w:rtl/>
        </w:rPr>
        <w:t xml:space="preserve">فمن خرج إلى المسجد ليصلي مع الجماعة، فأدرك الجماعة وقد صلّوا، فصلى وحده، كُتب له مثل أجر الجماعة بنيته وسعيه؛ لأنه قصد ذلك ونواه، ولكن منعه أمر خارج عن إرادته، فهذا يُكتب له أجر الجماعة.</w:t>
      </w:r>
    </w:p>
    <w:p>
      <w:pPr>
        <w:bidi/>
        <w:spacing w:after="200" w:line="360"/>
        <w:jc w:val="both"/>
      </w:pPr>
      <w:r>
        <w:rPr>
          <w:rFonts w:ascii="Traditional Arabic" w:cs="Traditional Arabic" w:eastAsia="Traditional Arabic" w:hAnsi="Traditional Arabic"/>
          <w:sz w:val="32"/>
          <w:szCs w:val="32"/>
          <w:rtl/>
        </w:rPr>
        <w:t xml:space="preserve">نكتفي بهذا القدر، والله أعلم، وصلى الله وسلم على نبينا محمد.</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aditional Arabic" w:cs="Traditional Arabic" w:eastAsia="Traditional Arabic" w:hAnsi="Traditional Arabic"/>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2026-10-15T09:49:38.504Z</dcterms:created>
  <dcterms:modified xsi:type="dcterms:W3CDTF">2026-10-15T09:49:38.504Z</dcterms:modified>
</cp:coreProperties>
</file>

<file path=docProps/custom.xml><?xml version="1.0" encoding="utf-8"?>
<Properties xmlns="http://schemas.openxmlformats.org/officeDocument/2006/custom-properties" xmlns:vt="http://schemas.openxmlformats.org/officeDocument/2006/docPropsVTypes"/>
</file>