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9</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وقد أخذنا شيئًا من القواعد الفقهية الكبرى، فانتهينا من قاعدة مهمة اتفق أهل العلم عليها، وهي قاعدة «الأمور بمقاصدها»، ثم ثنّينا بالحديث عن القاعدة الثانية من القواعد الفقهية الكلية الكبرى، وهي قاعدة «اليقين لا يزول بالشك»، وأخذنا أدلة هذه القاعدة، وتكلمنا عن معنى هذه القاعدة، وأن ما ثبت بيقين يُستصحب حكمه حتى يقوم دليل على خلاف هذا اليقين، أما مجرد الشك فهو لا يزيل هذا اليقين.</w:t>
      </w:r>
    </w:p>
    <w:p>
      <w:pPr>
        <w:bidi/>
        <w:spacing w:after="200" w:line="360"/>
        <w:jc w:val="both"/>
      </w:pPr>
      <w:r>
        <w:rPr>
          <w:rFonts w:ascii="Traditional Arabic" w:cs="Traditional Arabic" w:eastAsia="Traditional Arabic" w:hAnsi="Traditional Arabic"/>
          <w:sz w:val="32"/>
          <w:szCs w:val="32"/>
          <w:rtl/>
        </w:rPr>
        <w:t xml:space="preserve">وهذه القاعدة العظيمة الكبرى الجليلة «اليقين لا يزول بالشك» تفرعت عنها قواعد كثيرة ذكرها الفقهاء وأهل القواعد، منها: «ما ثبت بيقين لا يرتفع إلا بيقين»، وقولهم: «الأصل بقاء ما كان على ما كان»، و«الأصل براءة الذمة»، و«الأصل في الأشياء والأعيان الإباحة إلا أن يدل دليل على الحظر»، و«الأصل في الأبضاع التحريم»، و«الأصل في العبادات الحظر وفي العادات الإباحة»، وقولهم: «إذا تعذّر إعمال الكلام يُهمل»، و«لا عبرة بالظن البيّن خطؤه»، ونحوها من العبارات المتفرعة عن قاعدة «اليقين لا يرتفع بالشك».</w:t>
      </w:r>
    </w:p>
    <w:p>
      <w:pPr>
        <w:bidi/>
        <w:spacing w:after="200" w:line="360"/>
        <w:jc w:val="both"/>
      </w:pPr>
      <w:r>
        <w:rPr>
          <w:rFonts w:ascii="Traditional Arabic" w:cs="Traditional Arabic" w:eastAsia="Traditional Arabic" w:hAnsi="Traditional Arabic"/>
          <w:sz w:val="32"/>
          <w:szCs w:val="32"/>
          <w:rtl/>
        </w:rPr>
        <w:t xml:space="preserve">وهذه القاعدة لها أمثلة كثيرة في الشريعة:</w:t>
      </w:r>
    </w:p>
    <w:p>
      <w:pPr>
        <w:bidi/>
        <w:spacing w:after="200" w:line="360"/>
        <w:jc w:val="both"/>
      </w:pPr>
      <w:r>
        <w:rPr>
          <w:rFonts w:ascii="Traditional Arabic" w:cs="Traditional Arabic" w:eastAsia="Traditional Arabic" w:hAnsi="Traditional Arabic"/>
          <w:sz w:val="32"/>
          <w:szCs w:val="32"/>
          <w:rtl/>
        </w:rPr>
        <w:t xml:space="preserve">مثلًا: لو تيقن الإنسان الطهارة؛ توضأ الإنسان وصلى مثلًا المغرب، ثم ذهب لشغله، أو ذهب للسوق، أو ذهب لأمر ما، ثم أذّن العشاء، فهو الآن آخر يقين عنده أنه توضأ وصلى المغرب، ثم شك: هل أحدث؟ هل دخل دورة المياه؟ هل خرج منه شيء؟ نقول: لا تلتفت لهذا الشك، بل اعمل باليقين وهو الطهارة.</w:t>
      </w:r>
    </w:p>
    <w:p>
      <w:pPr>
        <w:bidi/>
        <w:spacing w:after="200" w:line="360"/>
        <w:jc w:val="both"/>
      </w:pPr>
      <w:r>
        <w:rPr>
          <w:rFonts w:ascii="Traditional Arabic" w:cs="Traditional Arabic" w:eastAsia="Traditional Arabic" w:hAnsi="Traditional Arabic"/>
          <w:sz w:val="32"/>
          <w:szCs w:val="32"/>
          <w:rtl/>
        </w:rPr>
        <w:t xml:space="preserve">وكذلك العكس: إذا تيقّن الإنسان أنه دخل دورة المياه وقضى حاجته ثم خرج، ثم ذهب مثلًا إلى السوق، ثم أذّن عليه المؤذن، ثم شك: هل بعد هذا الحدث المتيقَّن تطهّر أو لا؟ نقول: لا تلتفت إلى أنك تطهرت؛ لأن عندك يقينًا أن آخر الأمر منك هو حصول الحدث، وهذا أمر متيقَّن فلا يرتفع إلا بيقين، أما مجرد أن تشك أنك ممكن أن تكون توضأت بعد ذلك فهذا لا يبيح لك الصلاة حتى تأتيها وأنت متيقن بالطهارة.</w:t>
      </w:r>
    </w:p>
    <w:p>
      <w:pPr>
        <w:bidi/>
        <w:spacing w:after="200" w:line="360"/>
        <w:jc w:val="both"/>
      </w:pPr>
      <w:r>
        <w:rPr>
          <w:rFonts w:ascii="Traditional Arabic" w:cs="Traditional Arabic" w:eastAsia="Traditional Arabic" w:hAnsi="Traditional Arabic"/>
          <w:sz w:val="32"/>
          <w:szCs w:val="32"/>
          <w:rtl/>
        </w:rPr>
        <w:t xml:space="preserve">فالمهم أنه يعمل باليقين في الحالتين: إن تيقّن الطهارة وشك في الحدث بنى على الطهارة، وإن تيقّن الحدث وشك في الطهارة – هل عقب هذا الحدث تطهّر أو لا؟ – نقول: اعمل باليقين، وهو أن آخر أمرك أنك محدث.</w:t>
      </w:r>
    </w:p>
    <w:p>
      <w:pPr>
        <w:bidi/>
        <w:spacing w:after="200" w:line="360"/>
        <w:jc w:val="both"/>
      </w:pPr>
      <w:r>
        <w:rPr>
          <w:rFonts w:ascii="Traditional Arabic" w:cs="Traditional Arabic" w:eastAsia="Traditional Arabic" w:hAnsi="Traditional Arabic"/>
          <w:sz w:val="32"/>
          <w:szCs w:val="32"/>
          <w:rtl/>
        </w:rPr>
        <w:t xml:space="preserve">وكذلك إذا أصابه بلل ولم يدرِ ما هو، لم يجب عليه أن يبحث عنه، ولا أن يسأل من أصابه به؛ لأن اليقين أن هذا البلل طاهر، فلا يلتفت إلى الشك.</w:t>
      </w:r>
    </w:p>
    <w:p>
      <w:pPr>
        <w:bidi/>
        <w:spacing w:after="200" w:line="360"/>
        <w:jc w:val="both"/>
      </w:pPr>
      <w:r>
        <w:rPr>
          <w:rFonts w:ascii="Traditional Arabic" w:cs="Traditional Arabic" w:eastAsia="Traditional Arabic" w:hAnsi="Traditional Arabic"/>
          <w:sz w:val="32"/>
          <w:szCs w:val="32"/>
          <w:rtl/>
        </w:rPr>
        <w:t xml:space="preserve">فهذه القاعدة نافعة في جميع أبواب الفقه، وداخلة في العبادات كلها: أن اليقين لا يرتفع إلا باليقين.</w:t>
      </w:r>
    </w:p>
    <w:p>
      <w:pPr>
        <w:bidi/>
        <w:spacing w:after="200" w:line="360"/>
        <w:jc w:val="both"/>
      </w:pPr>
      <w:r>
        <w:rPr>
          <w:rFonts w:ascii="Traditional Arabic" w:cs="Traditional Arabic" w:eastAsia="Traditional Arabic" w:hAnsi="Traditional Arabic"/>
          <w:sz w:val="32"/>
          <w:szCs w:val="32"/>
          <w:rtl/>
        </w:rPr>
        <w:t xml:space="preserve">و«الأصل بقاء ما كان على ما كان» لها أمثلة كثيرة، مثل: إذا تسحّر الإنسان على ظن أن الفجر لم يطلع – قام من الليل فتسحّر – ثم تبيّن أن الفجر قد طلع، فالأصل بقاء ما كان على ما كان، كان الأصل بقاء الليل، فليس عليه قضاء هذا اليوم، بل يمسك ويتم صومه ولا شيء عليه؛ لأن الأصل بقاء الليل، بقاء ما كان على ما كان. اللهم إلا إذا فرّط في التحقق من الفجر؛ إذا غلب على ظنه طلوع الفجر، وكان عنده ظن غالب أن الفجر قد طلع فأكل، ثم ظهر أنه أكل بعدما طلع الفجر، فإنه يقضي. أما إذا كان عنده يقين أنه الآن آخر الليل – مثلًا قام على المنبّه، وهو واضعه مثلًا على الساعة الثانية من الليل، وهذا يقين أنه لم يطلع الفجر – فأكل، ثم تبيّن أن الساعة حُرّكت إلى الساعة الرابعة، هنا نقول: لا شيء عليه؛ لأنه أكل على أن الساعة الثانية الآن، وهذا يقين أنه من الليل، فالأصل بقاء ما كان على ما كان، فيتم صومه ولا شيء عليه.</w:t>
      </w:r>
    </w:p>
    <w:p>
      <w:pPr>
        <w:bidi/>
        <w:spacing w:after="200" w:line="360"/>
        <w:jc w:val="both"/>
      </w:pPr>
      <w:r>
        <w:rPr>
          <w:rFonts w:ascii="Traditional Arabic" w:cs="Traditional Arabic" w:eastAsia="Traditional Arabic" w:hAnsi="Traditional Arabic"/>
          <w:sz w:val="32"/>
          <w:szCs w:val="32"/>
          <w:rtl/>
        </w:rPr>
        <w:t xml:space="preserve">وكذلك قولهم تفريعًا على هذه القاعدة: «الأصل براءة الذمة»، والمراد بالذمة النفس، أي أن النفس بريئة، معناها أن الإنسان بريء الذمة من وجوب شيء عليه، فلا يجب على الإنسان شيء بمجرد الشك.</w:t>
      </w:r>
    </w:p>
    <w:p>
      <w:pPr>
        <w:bidi/>
        <w:spacing w:after="200" w:line="360"/>
        <w:jc w:val="both"/>
      </w:pPr>
      <w:r>
        <w:rPr>
          <w:rFonts w:ascii="Traditional Arabic" w:cs="Traditional Arabic" w:eastAsia="Traditional Arabic" w:hAnsi="Traditional Arabic"/>
          <w:sz w:val="32"/>
          <w:szCs w:val="32"/>
          <w:rtl/>
        </w:rPr>
        <w:t xml:space="preserve">وبراءة الذمة تكون من حقين:</w:t>
      </w:r>
    </w:p>
    <w:p>
      <w:pPr>
        <w:bidi/>
        <w:spacing w:after="200" w:line="360"/>
        <w:jc w:val="both"/>
      </w:pPr>
      <w:r>
        <w:rPr>
          <w:rFonts w:ascii="Traditional Arabic" w:cs="Traditional Arabic" w:eastAsia="Traditional Arabic" w:hAnsi="Traditional Arabic"/>
          <w:sz w:val="32"/>
          <w:szCs w:val="32"/>
          <w:rtl/>
        </w:rPr>
        <w:t xml:space="preserve">من حق لله تعالى؛ فلا يجب على الإنسان شيء من العبادات أو الحقوق إلا بدليل؛ لأن الأصل أن الإنسان بريئة ذمته، وأن الأصل في العبادات التوقيف. كذلك الأصل في كل إنسان براءة جسده من الحدود والتعزيرات، هذا هو الأصل، لا ننتقل عن هذا الأصل ونقول: هذا الرجل يجب أن يُحدّ أو يُعزَّر إلا بيقين.</w:t>
      </w:r>
    </w:p>
    <w:p>
      <w:pPr>
        <w:bidi/>
        <w:spacing w:after="200" w:line="360"/>
        <w:jc w:val="both"/>
      </w:pPr>
      <w:r>
        <w:rPr>
          <w:rFonts w:ascii="Traditional Arabic" w:cs="Traditional Arabic" w:eastAsia="Traditional Arabic" w:hAnsi="Traditional Arabic"/>
          <w:sz w:val="32"/>
          <w:szCs w:val="32"/>
          <w:rtl/>
        </w:rPr>
        <w:t xml:space="preserve">وبراءة الذمة تدخل في حقوق العباد؛ فلا يُطالَب بشيء، كأن يقال: ذمتك مشغولة لفلان بن فلان، لا بد أن تؤدي إليه حقه. نقول: الأصل أن الإنسان لا يطالب بشيء إلا بقيام دليل على انشغال ذمته به؛ لأن الأصل عدم شغل الذمة. ولذا القاضي يتكلم في الأصل العام في الشريعة الإسلامية: القاضي إذا أتته هذه الأمور، فالأصل أن هذا المدّعي على فلان – مثلًا – الأصل أن دعواه لا تُقبل إلا ببيّنة؛ لأن الأصل أن ذمم الناس بريئة من حقوق الآخرين، فلا يُعاقب ولا يُحدّ ولا يُعزَّر ولا يُلزم بمال إلا أن يقيم المدعي البيّنة. لماذا؟ لأن الأصل براءة الذمم.</w:t>
      </w:r>
    </w:p>
    <w:p>
      <w:pPr>
        <w:bidi/>
        <w:spacing w:after="200" w:line="360"/>
        <w:jc w:val="both"/>
      </w:pPr>
      <w:r>
        <w:rPr>
          <w:rFonts w:ascii="Traditional Arabic" w:cs="Traditional Arabic" w:eastAsia="Traditional Arabic" w:hAnsi="Traditional Arabic"/>
          <w:sz w:val="32"/>
          <w:szCs w:val="32"/>
          <w:rtl/>
        </w:rPr>
        <w:t xml:space="preserve">ونجد أن قاعدة «اليقين لا يزول بالشك» قاعدة نافعة في جميع أبواب الحياة:</w:t>
      </w:r>
    </w:p>
    <w:p>
      <w:pPr>
        <w:bidi/>
        <w:spacing w:after="200" w:line="360"/>
        <w:jc w:val="both"/>
      </w:pPr>
      <w:r>
        <w:rPr>
          <w:rFonts w:ascii="Traditional Arabic" w:cs="Traditional Arabic" w:eastAsia="Traditional Arabic" w:hAnsi="Traditional Arabic"/>
          <w:sz w:val="32"/>
          <w:szCs w:val="32"/>
          <w:rtl/>
        </w:rPr>
        <w:t xml:space="preserve">إذا شك الإنسان في الماء: هل أصابته نجاسة أم لا؟ نقول: الأصل اليقين. إنسان أتى إلى فلاة من الأرض، فوجد ماءً نابعًا من الأرض أو نازلًا من السماء، فاحتاج إليه، فقال له من معه: لعل هذا الماء أصابه بول سباع أو نحوها، لا تتوضأ به! نقول: الأصل الطهارة، الأصل أن الماء طاهر، ولا نرتفع عن هذا الأصل إلا بيقين ثابت.</w:t>
      </w:r>
    </w:p>
    <w:p>
      <w:pPr>
        <w:bidi/>
        <w:spacing w:after="200" w:line="360"/>
        <w:jc w:val="both"/>
      </w:pPr>
      <w:r>
        <w:rPr>
          <w:rFonts w:ascii="Traditional Arabic" w:cs="Traditional Arabic" w:eastAsia="Traditional Arabic" w:hAnsi="Traditional Arabic"/>
          <w:sz w:val="32"/>
          <w:szCs w:val="32"/>
          <w:rtl/>
        </w:rPr>
        <w:t xml:space="preserve">كذلك إذا أراد أن يصلي في بقعة؛ النبي عليه الصلاة والسلام أعطانا قاعدة، قال: «جُعلت لي الأرض مسجدًا وطهورًا»، فيصلي في مكان، فلا يجوز لأحد أن يحتجّ عليه ويقول: افرش سجادة؛ فإنك لا تدري، هذه الأرض قد تكون أصابتها نجاسة. نعم، قد تكون أصابتها نجاسة، لكن أنا عندي أصل عام، وهو أن هذه البقعة طاهرة، واليقين أن الأرض طاهرة، فلا أرتفع عن هذا اليقين بالتوهم، فلا بد من يقين أنه بعد هذه الطهارة الثابتة أصابتها النجاسة، فهنا يُنتقل إلى العمل باليقين الآخر.</w:t>
      </w:r>
    </w:p>
    <w:p>
      <w:pPr>
        <w:bidi/>
        <w:spacing w:after="200" w:line="360"/>
        <w:jc w:val="both"/>
      </w:pPr>
      <w:r>
        <w:rPr>
          <w:rFonts w:ascii="Traditional Arabic" w:cs="Traditional Arabic" w:eastAsia="Traditional Arabic" w:hAnsi="Traditional Arabic"/>
          <w:sz w:val="32"/>
          <w:szCs w:val="32"/>
          <w:rtl/>
        </w:rPr>
        <w:t xml:space="preserve">ولذلك إذا أراد الإنسان أن يصلي في بيته فلا يحتاج إلى أن يفرش سجادته، بل يصلي في أي مكان شاء. وبعض النساء تتحرّج أن تصلي في بيتها في أي مكان حتى تفرش سجادتها، بحجة أنه قد يكون أصابه بلل من أولاد الصبيان أو بول، أو إذا كان عندهم بعض الحيوانات – مثلًا قطط في البيت – فتقول: أنا أخشى أن هذه البقعة أصابها شيء من روث البهائم التي لا يؤكل لحمها. فنقول: الأصل أنها طاهرة، صلّي في أي مكان حتى تتيقني أن هذا المكان نجس، فننتقل من يقين الطهارة إلى يقين النجاسة، أما مجرد التوهم فلا ينفع.</w:t>
      </w:r>
    </w:p>
    <w:p>
      <w:pPr>
        <w:bidi/>
        <w:spacing w:after="200" w:line="360"/>
        <w:jc w:val="both"/>
      </w:pPr>
      <w:r>
        <w:rPr>
          <w:rFonts w:ascii="Traditional Arabic" w:cs="Traditional Arabic" w:eastAsia="Traditional Arabic" w:hAnsi="Traditional Arabic"/>
          <w:sz w:val="32"/>
          <w:szCs w:val="32"/>
          <w:rtl/>
        </w:rPr>
        <w:t xml:space="preserve">لذلك قال الفقهاء تفريعًا على هذه القاعدة: «لا عبرة بالتوهم»؛ يعني الإنسان يتوهم أن هذا الأمر تغيّر حاله، أو يتوهم أن هذه البقعة نجسة، نقول: هذا لا عبرة به؛ لأن الأصل العام عندنا «اليقين لا يزول بالشك»، واليقين أن البيوت طاهرة، وأن السجاد طاهر، وأن الأرض طاهرة، وأن المياه طاهرة، ولا نرتفع عن هذه الطهارة إلا بشيء يقيني يرفع هذا اليقين.</w:t>
      </w:r>
    </w:p>
    <w:p>
      <w:pPr>
        <w:bidi/>
        <w:spacing w:after="200" w:line="360"/>
        <w:jc w:val="both"/>
      </w:pPr>
      <w:r>
        <w:rPr>
          <w:rFonts w:ascii="Traditional Arabic" w:cs="Traditional Arabic" w:eastAsia="Traditional Arabic" w:hAnsi="Traditional Arabic"/>
          <w:sz w:val="32"/>
          <w:szCs w:val="32"/>
          <w:rtl/>
        </w:rPr>
        <w:t xml:space="preserve">وهذه القاعدة إذا استعملها الإنسان في حياته يجد انشراحًا في نفسه، وسهولة للعبادة عليه، وتيسيرًا للعبادة، وهي من رحمة الله عز وجل بعباده أن جعلنا لا ننتقل عن أي شيء ثبت عندنا بيقين إلا بيقين؛ هذه رحمة بالعباد، حتى يسدّ الله عز وجل على العباد الحرج، وعلى الشيطان الوسوسة، فيوسوس للإنسان: ترى ممكن أن هذا حصل فيه كذا، أو هذا الماء حصل فيه كذا؛ فلا يلتفت الإنسان إلى ذلك.</w:t>
      </w:r>
    </w:p>
    <w:p>
      <w:pPr>
        <w:bidi/>
        <w:spacing w:after="200" w:line="360"/>
        <w:jc w:val="both"/>
      </w:pPr>
      <w:r>
        <w:rPr>
          <w:rFonts w:ascii="Traditional Arabic" w:cs="Traditional Arabic" w:eastAsia="Traditional Arabic" w:hAnsi="Traditional Arabic"/>
          <w:sz w:val="32"/>
          <w:szCs w:val="32"/>
          <w:rtl/>
        </w:rPr>
        <w:t xml:space="preserve">كذلك إذا شك الصائم في غروب الشمس لا يجوز له أن يفطر؛ اعتبارًا بالأصل، وهو بقاء النهار. لكن العكس: لو شك في طلوع الفجر – هو الآن في الليل، وشك: هل طلع الفجر أو ما طلع؟ – نقول: الأصل أن الليل موجود، فيجوز له الأكل؛ لأن الأصل بقاء الليل. وإذا تبيّن أنه فعلًا ظهر الفجر وأنه أكل بعد الفجر فلا شيء عليه؛ لأنه عمل بالأصل، وهو أن الأصل بقاء ما كان على ما كان.</w:t>
      </w:r>
    </w:p>
    <w:p>
      <w:pPr>
        <w:bidi/>
        <w:spacing w:after="200" w:line="360"/>
        <w:jc w:val="both"/>
      </w:pPr>
      <w:r>
        <w:rPr>
          <w:rFonts w:ascii="Traditional Arabic" w:cs="Traditional Arabic" w:eastAsia="Traditional Arabic" w:hAnsi="Traditional Arabic"/>
          <w:sz w:val="32"/>
          <w:szCs w:val="32"/>
          <w:rtl/>
        </w:rPr>
        <w:t xml:space="preserve">كذلك إذا طاف بالبيت – طاف بالبيت معتمرًا أو حاجًا أو متطوعًا بالطواف – وطاف ستة أشواط، ثم شك: هل طاف ستًا أو سبعًا؟ نقول: ابنِ على اليقين، اليقين أنك الآن انتهيت من السادس، والسابع مشكوك فيه، فاطرح الشك وائتِ بشوط. وهكذا لو شك: هل هي خمسة أو ستة؟ نقول: اجعلها خمسة.</w:t>
      </w:r>
    </w:p>
    <w:p>
      <w:pPr>
        <w:bidi/>
        <w:spacing w:after="200" w:line="360"/>
        <w:jc w:val="both"/>
      </w:pPr>
      <w:r>
        <w:rPr>
          <w:rFonts w:ascii="Traditional Arabic" w:cs="Traditional Arabic" w:eastAsia="Traditional Arabic" w:hAnsi="Traditional Arabic"/>
          <w:sz w:val="32"/>
          <w:szCs w:val="32"/>
          <w:rtl/>
        </w:rPr>
        <w:t xml:space="preserve">كذلك رمي الجمار: ما أدري رميت خمسًا أو ستًا من الجمار؟ نقول: ما دمت في العبادة فالشك مؤثّر في العبادة، فإنه يرمي. قال: أنا لا أدري هل هي خمس أو ست؟ نقول: اجعلها خمسًا؛ لأن الخمس متيقَّنة، والسادسة مشكوك فيها.</w:t>
      </w:r>
    </w:p>
    <w:p>
      <w:pPr>
        <w:bidi/>
        <w:spacing w:after="200" w:line="360"/>
        <w:jc w:val="both"/>
      </w:pPr>
      <w:r>
        <w:rPr>
          <w:rFonts w:ascii="Traditional Arabic" w:cs="Traditional Arabic" w:eastAsia="Traditional Arabic" w:hAnsi="Traditional Arabic"/>
          <w:sz w:val="32"/>
          <w:szCs w:val="32"/>
          <w:rtl/>
        </w:rPr>
        <w:t xml:space="preserve">قال ابن المنذر: «أجمعوا على أن من شك في طوافه بنى على اليقين». لكن إذا انتهى الإنسان وطاف وصلى ركعتين بعد طوافه، ثم بعد هذا شك، قال: أنا لا أدري أطفت سبعة أو ستة؟ نقول: الأصل أنك طفت سبعة، وأن الإنسان لا ينصرف من الطواف إلا وقد أتمّه، فلا يرجع ويأتي بشوط؛ لأنك انتهيت من العبادة، اللهم إلا إذا تيقّنت يقينًا أنك فعلًا طفت ستة، فنقول الآن: يلزمك أن تأتي بالشوط السابع. أما مجرد الشك بعد العبادة فلا يلتفت الإنسان إليه.</w:t>
      </w:r>
    </w:p>
    <w:p>
      <w:pPr>
        <w:bidi/>
        <w:spacing w:after="200" w:line="360"/>
        <w:jc w:val="both"/>
      </w:pPr>
      <w:r>
        <w:rPr>
          <w:rFonts w:ascii="Traditional Arabic" w:cs="Traditional Arabic" w:eastAsia="Traditional Arabic" w:hAnsi="Traditional Arabic"/>
          <w:sz w:val="32"/>
          <w:szCs w:val="32"/>
          <w:rtl/>
        </w:rPr>
        <w:t xml:space="preserve">كذلك الفقهاء أجروا هذه القاعدة «اليقين لا يرتفع بالشك» في تطبيقات كثيرة، فقالوا: إن زوجة الأسير لا تتزوج بعده حتى تعلم يقينًا أنه قد مات، فإذا تحقّق لها أنه قد مات فإنها تتزوج، كما قال ابن المنذر: «أجمعوا على أن زوجة الأسير لا تُنكح حتى تعلم يقين وفاته».</w:t>
      </w:r>
    </w:p>
    <w:p>
      <w:pPr>
        <w:bidi/>
        <w:spacing w:after="200" w:line="360"/>
        <w:jc w:val="both"/>
      </w:pPr>
      <w:r>
        <w:rPr>
          <w:rFonts w:ascii="Traditional Arabic" w:cs="Traditional Arabic" w:eastAsia="Traditional Arabic" w:hAnsi="Traditional Arabic"/>
          <w:sz w:val="32"/>
          <w:szCs w:val="32"/>
          <w:rtl/>
        </w:rPr>
        <w:t xml:space="preserve">وكذلك لو سافر رجل إلى بلاد بعيدة وانقطعت أخباره مدة طويلة، فانقطاع الأخبار هذا شك في حياته، قد يكون مات، لكن الأصل عندنا أنه حي، فلا نحكم بموته، ولا نورّث ماله، ولا تعتدّ امرأته لمجرد الشك، ولو أنه سافر إلى بلد بعيد، فالأصل أنه على قيد الحياة. بخلاف من تيقّنّا أنه غرق في مركب في البحر، أو سقطت به الطائرة، ونحن نعلم يقينًا أنه كان في هذه الطائرة أو في هذا المركب وغرق، وأنه من الذين غرقوا، فهذا هو الأصل نعمل به؛ لأن هذا هو المتيقَّن، وإن كان فيه احتمال أنه نجا، لكن ما دام عندنا يقين قوي نعمل به، وتترتب عليه أحكامه، حتى يأتي يقين يثبت عكس ذلك من حياته.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2026-10-15T09:49:38.917Z</dcterms:created>
  <dcterms:modified xsi:type="dcterms:W3CDTF">2026-10-15T09:49:38.917Z</dcterms:modified>
</cp:coreProperties>
</file>

<file path=docProps/custom.xml><?xml version="1.0" encoding="utf-8"?>
<Properties xmlns="http://schemas.openxmlformats.org/officeDocument/2006/custom-properties" xmlns:vt="http://schemas.openxmlformats.org/officeDocument/2006/docPropsVTypes"/>
</file>