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10</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عبر أثير إذاعة القرآن الكريم من دولة الكويت، في برنامجكم اليومي «القواعد الفقهية».</w:t>
      </w:r>
    </w:p>
    <w:p>
      <w:pPr>
        <w:bidi/>
        <w:spacing w:after="200" w:line="360"/>
        <w:jc w:val="both"/>
      </w:pPr>
      <w:r>
        <w:rPr>
          <w:rFonts w:ascii="Traditional Arabic" w:cs="Traditional Arabic" w:eastAsia="Traditional Arabic" w:hAnsi="Traditional Arabic"/>
          <w:sz w:val="32"/>
          <w:szCs w:val="32"/>
          <w:rtl/>
        </w:rPr>
        <w:t xml:space="preserve">وما زال الحديث متصلًا عن قاعدة كلية كبرى من قواعد الفقه الإسلامي المهمة، وهي قاعدة «اليقين لا يزول بالشك»، وفرّعوا عنها عدة قواعد في الحقوق والديون مما يجب على الإنسان أداؤه، منها قاعدة «الأصل براءة الذمة»؛ أي أن الأصل أن الإنسان لا يُطالب بالشيء، وأن ذمته بريئة من الحق، وهذه تخص الديون والحقوق.</w:t>
      </w:r>
    </w:p>
    <w:p>
      <w:pPr>
        <w:bidi/>
        <w:spacing w:after="200" w:line="360"/>
        <w:jc w:val="both"/>
      </w:pPr>
      <w:r>
        <w:rPr>
          <w:rFonts w:ascii="Traditional Arabic" w:cs="Traditional Arabic" w:eastAsia="Traditional Arabic" w:hAnsi="Traditional Arabic"/>
          <w:sz w:val="32"/>
          <w:szCs w:val="32"/>
          <w:rtl/>
        </w:rPr>
        <w:t xml:space="preserve">ونحن نجد أن هذه القاعدة – إن صح التعبير عنها بقاعدة قانونية – نجد أن الفقهاء وأهل الإسلام سبقوا ما يتشدّق به الغرب ومن تأثر بهم في سبك القوانين وتقنينها وإلزام الناس بها. نقول: إن هذا موجود – والحمد لله – في شريعتنا، وقد سبقت هذه الدول التي تتشدّق بقانونها وتنظيم حياتها. نقول: إن هذا موجود في الإسلام، وإن كان بعض المسلمين لا يرفعون بهذا رأسًا، فليس هذا مطعنًا في الإسلام نفسه.</w:t>
      </w:r>
    </w:p>
    <w:p>
      <w:pPr>
        <w:bidi/>
        <w:spacing w:after="200" w:line="360"/>
        <w:jc w:val="both"/>
      </w:pPr>
      <w:r>
        <w:rPr>
          <w:rFonts w:ascii="Traditional Arabic" w:cs="Traditional Arabic" w:eastAsia="Traditional Arabic" w:hAnsi="Traditional Arabic"/>
          <w:sz w:val="32"/>
          <w:szCs w:val="32"/>
          <w:rtl/>
        </w:rPr>
        <w:t xml:space="preserve">فقاعدة «الأصل براءة الذمة» تكلم عنها الفقهاء منذ قديم الزمن، والمراد منها: أن المتيقَّن من حال الإنسان أنه بريء الذمة من كل دين أو إلزام؛ لأنه يولد هكذا، فهذا هو الأصل، فنستصحب أن ذمته بريئة حتى يأتينا يقين بيّن أن هذا مطالب بكذا وكذا. فاستصحاب حال براءة الذمة هو الأصل.</w:t>
      </w:r>
    </w:p>
    <w:p>
      <w:pPr>
        <w:bidi/>
        <w:spacing w:after="200" w:line="360"/>
        <w:jc w:val="both"/>
      </w:pPr>
      <w:r>
        <w:rPr>
          <w:rFonts w:ascii="Traditional Arabic" w:cs="Traditional Arabic" w:eastAsia="Traditional Arabic" w:hAnsi="Traditional Arabic"/>
          <w:sz w:val="32"/>
          <w:szCs w:val="32"/>
          <w:rtl/>
        </w:rPr>
        <w:t xml:space="preserve">ودليل هذه القاعدة قوله عليه الصلاة والسلام في حديث ابن عباس: «لو يُعطى الناس بدعواهم لادّعى ناس دماء رجال وأموالهم»؛ أي أتى أناس وادّعوا دماء هؤلاء الرجال، وأتى أناس وادّعوا أموال هؤلاء الرجال. قال النبي عليه الصلاة والسلام: «لادّعى ناس دماء رجال وأموالهم، ولكن اليمين على المدّعى عليه». فنجد أن النبي عليه الصلاة والسلام جعل البيّنة على المدّعي؛ لأنه يدّعي خلاف الأصل، فيحتاج إلى إثبات دعواه، والقول قول المدّعى عليه بيمينه؛ أي أن المدّعى عليه يحلف يمينًا أمام القاضي وينتهي الأمر. لماذا نصدّقه مع أنه قد يكون فعلًا أكل مال أحد؟ لأن معه الأصل، وهو براءة ذمته، فيكتفي القاضي منه بمجرد اليمين لانعدام البيّنة.</w:t>
      </w:r>
    </w:p>
    <w:p>
      <w:pPr>
        <w:bidi/>
        <w:spacing w:after="200" w:line="360"/>
        <w:jc w:val="both"/>
      </w:pPr>
      <w:r>
        <w:rPr>
          <w:rFonts w:ascii="Traditional Arabic" w:cs="Traditional Arabic" w:eastAsia="Traditional Arabic" w:hAnsi="Traditional Arabic"/>
          <w:sz w:val="32"/>
          <w:szCs w:val="32"/>
          <w:rtl/>
        </w:rPr>
        <w:t xml:space="preserve">ومن فروع هذه القاعدة: إذا قال المدّعي: أنا أقرضتُ فلانًا، أو بعته كذا، أو أعرته، أو قال: غصبني أرضًا أو سيارة أو نحو ذلك، فليس مع المدّعى عليه من شواهد صدقه شيء يدفع به عن نفسه هذه التهمة إلا أن الأصل براءة الذمة؛ فإذًا يعمل القاضي ببراءة ذمته.</w:t>
      </w:r>
    </w:p>
    <w:p>
      <w:pPr>
        <w:bidi/>
        <w:spacing w:after="200" w:line="360"/>
        <w:jc w:val="both"/>
      </w:pPr>
      <w:r>
        <w:rPr>
          <w:rFonts w:ascii="Traditional Arabic" w:cs="Traditional Arabic" w:eastAsia="Traditional Arabic" w:hAnsi="Traditional Arabic"/>
          <w:sz w:val="32"/>
          <w:szCs w:val="32"/>
          <w:rtl/>
        </w:rPr>
        <w:t xml:space="preserve">وكذلك لو ادّعى على آخر أنه أقرضه مالًا، قال: أنا أقرضت فلانًا ألف دينار، فترافعا عند القاضي، فقال: نعم، أقرضني ألف دينار، لكن… يقول القاضي: ما دمت أقررت فأنت الآن ذمتك مشغولة بهذا الدين، والأصل أنك تؤخذ به – والأصل أن ذمتك كانت بريئة، لكنه اعترف أنه اقترض الألف دينار – قال: لكني أنا وفّيته. فنقول: تُلزم ببيّنة تثبت أنك وفّيته؛ ما دام لا توجد عندك بيّنة أنك أوفيته هذا الألف يجب عليك أن توفيه الآن، وإن كان فعلًا أوفاه ولكنه لم يُثبت ذلك.</w:t>
      </w:r>
    </w:p>
    <w:p>
      <w:pPr>
        <w:bidi/>
        <w:spacing w:after="200" w:line="360"/>
        <w:jc w:val="both"/>
      </w:pPr>
      <w:r>
        <w:rPr>
          <w:rFonts w:ascii="Traditional Arabic" w:cs="Traditional Arabic" w:eastAsia="Traditional Arabic" w:hAnsi="Traditional Arabic"/>
          <w:sz w:val="32"/>
          <w:szCs w:val="32"/>
          <w:rtl/>
        </w:rPr>
        <w:t xml:space="preserve">وبعض الناس يحتجّ بأن القضاء معه، أو أن الأوراق لا تدينه. نقول: وإن كانت الأوراق لا تدينه، فالقاضي يحكم بما بين يديه من بيّنات، وهو معذور عند الله عز وجل، لكن أنت الذي أكلت المال بالحيلة أو بإضعاف الحجة هذا لا يحل لك عند الله عز وجل؛ فإن القاضي يقضي بالظاهر وهو معذور عند الله عز وجل.</w:t>
      </w:r>
    </w:p>
    <w:p>
      <w:pPr>
        <w:bidi/>
        <w:spacing w:after="200" w:line="360"/>
        <w:jc w:val="both"/>
      </w:pPr>
      <w:r>
        <w:rPr>
          <w:rFonts w:ascii="Traditional Arabic" w:cs="Traditional Arabic" w:eastAsia="Traditional Arabic" w:hAnsi="Traditional Arabic"/>
          <w:sz w:val="32"/>
          <w:szCs w:val="32"/>
          <w:rtl/>
        </w:rPr>
        <w:t xml:space="preserve">قال عليه الصلاة والسلام: «إنكم تختصمون إليّ، وإنما أنا بشر، ولعل بعضكم أن يكون ألحن بحجته من بعض، وإنما أقضي لكم على نحو مما أسمع منكم، فمن قضيت له من حق أخيه شيئًا فلا يأخذه، فإنما أقطع له قطعة من النار يأتي بها يوم القيامة». أي من قضيتُ له من أخيه شيئًا بحسب البيّنات وبحسب ما سمعت، بحسب ما أحضر من البيّنات والشهود، قال عليه الصلاة والسلام: فلا يأخذه؛ لأنه قضى بما بين يديه. فمن يتحجّج بحكم القضاء، وأن القضاء أحلّ له ذلك، وهو في حقيقة الأمر بخلاف الحقيقة، فهذا قال عنه النبي عليه الصلاة والسلام: قد قطعتُ له قطعة من النار يأتي بها يوم القيامة. نسأل الله السلامة.</w:t>
      </w:r>
    </w:p>
    <w:p>
      <w:pPr>
        <w:bidi/>
        <w:spacing w:after="200" w:line="360"/>
        <w:jc w:val="both"/>
      </w:pPr>
      <w:r>
        <w:rPr>
          <w:rFonts w:ascii="Traditional Arabic" w:cs="Traditional Arabic" w:eastAsia="Traditional Arabic" w:hAnsi="Traditional Arabic"/>
          <w:sz w:val="32"/>
          <w:szCs w:val="32"/>
          <w:rtl/>
        </w:rPr>
        <w:t xml:space="preserve">كذلك مما يدخل في هذه القاعدة – وهي «الأصل براءة الذمة» – أنه إذا أقرّ بلزوم شيء لكن ادّعى صفة زائدة على هذا الشيء كالتأجيل فلا يُقبل منه ذلك؛ مثل إذا كان عليه دين مؤجل، فجاء صاحب الدين وترافع عند القاضي وقال: أنا أطلبه دينًا، فأقرّ، قال: نعم، هو يطلبني دينًا، لكنه يحلّ بعد سنة. قلنا: لا يأخذ القاضي بهذا الكلام؛ أقررتَ بهذا الدين، ولا نقبل أنه بعد سنة، بل هو حالٌّ الآن؛ لأنك أقررت به، فيكون مقرًّا بالحق. وأما قضية التأجيل، أنه بعد سنة، فهو مدّعٍ للتأجيل، فإن أحضر بيّنة أنه بعد سنة قُبل، وإن لم يُحضر بيّنة فالأصل أنه اعترف بالحق فدخل في ذمته، فيؤخذ بما أقرّ به، ولا تُسمع منه دعوى أنه بعد سنة إلا ببيّنة واضحة.</w:t>
      </w:r>
    </w:p>
    <w:p>
      <w:pPr>
        <w:bidi/>
        <w:spacing w:after="200" w:line="360"/>
        <w:jc w:val="both"/>
      </w:pPr>
      <w:r>
        <w:rPr>
          <w:rFonts w:ascii="Traditional Arabic" w:cs="Traditional Arabic" w:eastAsia="Traditional Arabic" w:hAnsi="Traditional Arabic"/>
          <w:sz w:val="32"/>
          <w:szCs w:val="32"/>
          <w:rtl/>
        </w:rPr>
        <w:t xml:space="preserve">ومن القواعد المهمة في الشريعة – وهي متفرعة عن قاعدة «اليقين لا يرتفع إلا بيقين» – أن «كل ما سكت الشارع عن إيجابه أو تحريمه فهو عفو». هذه قاعدة عظيمة نافعة، وقضية كلية جامعة، تدخل في جميع أبواب المعاملات، وتنبني عليها مسائل كثيرة مما سكت عنه الشارع الحكيم.</w:t>
      </w:r>
    </w:p>
    <w:p>
      <w:pPr>
        <w:bidi/>
        <w:spacing w:after="200" w:line="360"/>
        <w:jc w:val="both"/>
      </w:pPr>
      <w:r>
        <w:rPr>
          <w:rFonts w:ascii="Traditional Arabic" w:cs="Traditional Arabic" w:eastAsia="Traditional Arabic" w:hAnsi="Traditional Arabic"/>
          <w:sz w:val="32"/>
          <w:szCs w:val="32"/>
          <w:rtl/>
        </w:rPr>
        <w:t xml:space="preserve">وبيان ذلك: أن الله عز وجل أكمل الدين وأتمّ الشريعة، ولم يفرّط في الكتاب من شيء، ولم يترك الخلق سدًى، بل ما يحتاج إليه العباد في معاشهم أو معادهم مبيّن في كتاب الله وسنة رسوله صلى الله عليه وسلم. وما سكت عنه الشرع فليس ذلك نسيانًا منه، وإنما هو عفو عفاه عن عباده؛ فالحلال ما أحله الله عز وجل في كتابه، والحرام ما حرّمه، وما بيّنه رسوله عليه الصلاة والسلام في سنته، وما كان مسكوتًا عنه فهو على الأصل أنه عفو معفوّ عنه حتى يقوم الدليل على خلافه.</w:t>
      </w:r>
    </w:p>
    <w:p>
      <w:pPr>
        <w:bidi/>
        <w:spacing w:after="200" w:line="360"/>
        <w:jc w:val="both"/>
      </w:pPr>
      <w:r>
        <w:rPr>
          <w:rFonts w:ascii="Traditional Arabic" w:cs="Traditional Arabic" w:eastAsia="Traditional Arabic" w:hAnsi="Traditional Arabic"/>
          <w:sz w:val="32"/>
          <w:szCs w:val="32"/>
          <w:rtl/>
        </w:rPr>
        <w:t xml:space="preserve">وقد دلّ على هذه القاعدة العظيمة قول الله عز وجل: ﴿يَا أَيُّهَا الَّذِينَ آمَنُوا لَا تَسْأَلُوا عَنْ أَشْيَاءَ إِنْ تُبْدَ لَكُمْ تَسُؤْكُمْ وَإِنْ تَسْأَلُوا عَنْهَا حِينَ يُنَزَّلُ الْقُرْآنُ تُبْدَ لَكُمْ عَفَا اللَّهُ عَنْهَا﴾؛ فالأشياء المسؤول عنها هي أحكام شرعية عفا الله عنها، أي سكت عن تحريمها، فيكون سؤال الصحابة وقت التنزيل قد يكون سببًا لتحريمها، ولو لم يسألوا لكانت على الأصل وهي العفو. فما سكت عنه الشارع فهو عفو، هذا ما تدل عليه الآية.</w:t>
      </w:r>
    </w:p>
    <w:p>
      <w:pPr>
        <w:bidi/>
        <w:spacing w:after="200" w:line="360"/>
        <w:jc w:val="both"/>
      </w:pPr>
      <w:r>
        <w:rPr>
          <w:rFonts w:ascii="Traditional Arabic" w:cs="Traditional Arabic" w:eastAsia="Traditional Arabic" w:hAnsi="Traditional Arabic"/>
          <w:sz w:val="32"/>
          <w:szCs w:val="32"/>
          <w:rtl/>
        </w:rPr>
        <w:t xml:space="preserve">من ذلك أن النبي عليه الصلاة والسلام لما سُئل: أفي كل عام الحج؟ قال: «لو قلتُ نعم لوجبت، ذروني ما تركتكم، فإنما هلك من كان قبلكم بكثرة مسائلهم واختلافهم على أنبيائهم».</w:t>
      </w:r>
    </w:p>
    <w:p>
      <w:pPr>
        <w:bidi/>
        <w:spacing w:after="200" w:line="360"/>
        <w:jc w:val="both"/>
      </w:pPr>
      <w:r>
        <w:rPr>
          <w:rFonts w:ascii="Traditional Arabic" w:cs="Traditional Arabic" w:eastAsia="Traditional Arabic" w:hAnsi="Traditional Arabic"/>
          <w:sz w:val="32"/>
          <w:szCs w:val="32"/>
          <w:rtl/>
        </w:rPr>
        <w:t xml:space="preserve">ويدل على هذا التأويل حديث أبي ثعلبة الخشني رضي الله عنه في قوله عليه الصلاة والسلام: «إن أعظم المسلمين في المسلمين جرمًا من سأل عن شيء لم يُحرَّم على المسلمين فحُرّم عليهم من أجل مسألته»، وهذا في زمن التشريع، أما اليوم فيُسأل؛ لا يوجد تحريم جديد.</w:t>
      </w:r>
    </w:p>
    <w:p>
      <w:pPr>
        <w:bidi/>
        <w:spacing w:after="200" w:line="360"/>
        <w:jc w:val="both"/>
      </w:pPr>
      <w:r>
        <w:rPr>
          <w:rFonts w:ascii="Traditional Arabic" w:cs="Traditional Arabic" w:eastAsia="Traditional Arabic" w:hAnsi="Traditional Arabic"/>
          <w:sz w:val="32"/>
          <w:szCs w:val="32"/>
          <w:rtl/>
        </w:rPr>
        <w:t xml:space="preserve">وجاء في الحديث أيضًا المشهور المروي – الذي صححه الحاكم وغيره – أن النبي عليه الصلاة والسلام قال: «إن الله فرض فرائض فلا تضيّعوها، وحدّ حدودًا فلا تعتدوها، وحرّم أشياء فلا تنتهكوها، وسكت عن أشياء رحمة لكم من غير نسيان فلا تبحثوا عنها».</w:t>
      </w:r>
    </w:p>
    <w:p>
      <w:pPr>
        <w:bidi/>
        <w:spacing w:after="200" w:line="360"/>
        <w:jc w:val="both"/>
      </w:pPr>
      <w:r>
        <w:rPr>
          <w:rFonts w:ascii="Traditional Arabic" w:cs="Traditional Arabic" w:eastAsia="Traditional Arabic" w:hAnsi="Traditional Arabic"/>
          <w:sz w:val="32"/>
          <w:szCs w:val="32"/>
          <w:rtl/>
        </w:rPr>
        <w:t xml:space="preserve">والله عز وجل قال في كتابه: ﴿وَقَدْ فَصَّلَ لَكُمْ مَا حَرَّمَ عَلَيْكُمْ﴾، فكل ما لم يبيّن الله ولا رسوله عليه الصلاة والسلام تحريمه من المطاعم والمشارب والملابس والعقود والشروط فلا يجوز للإنسان أن يحرّمه. ودائرة الحلال في الشريعة الإسلامية لا يحصيها عدّ، بينما دائرة الحرام محصورة معدودة؛ لأن الله سبحانه وتعالى قد فصّل لنا ما حرّم علينا، فما كان من هذه الأشياء حرامًا فلا بد أن يكون تحريمه مفصّلًا. وكما أنه لا يجوز إباحة ما حرّم الله، فكذلك لا يجوز تحريم ما عفا الله عنه ولم يحرّمه. الله عز وجل يقول: ﴿أَمْ لَهُمْ شُرَكَاءُ شَرَعُوا لَهُمْ مِنَ الدِّينِ مَا لَمْ يَأْذَنْ بِهِ اللَّهُ﴾، فدلّ هذا النص على أن ما لم يأذن به الله من الدين فهو تشريع باطل.</w:t>
      </w:r>
    </w:p>
    <w:p>
      <w:pPr>
        <w:bidi/>
        <w:spacing w:after="200" w:line="360"/>
        <w:jc w:val="both"/>
      </w:pPr>
      <w:r>
        <w:rPr>
          <w:rFonts w:ascii="Traditional Arabic" w:cs="Traditional Arabic" w:eastAsia="Traditional Arabic" w:hAnsi="Traditional Arabic"/>
          <w:sz w:val="32"/>
          <w:szCs w:val="32"/>
          <w:rtl/>
        </w:rPr>
        <w:t xml:space="preserve">فالله عز وجل أحلّ لنا أمورًا، وحرّم علينا أمورًا، وسكت عن أمور عفوًا منه سبحانه لا نسيانًا، فتكون على الأصل؛ فيدخل في ذلك كله المطاعم والمشارب والملابس، الأصل أنها على الحلّ ومعفوّ عنها.</w:t>
      </w:r>
    </w:p>
    <w:p>
      <w:pPr>
        <w:bidi/>
        <w:spacing w:after="200" w:line="360"/>
        <w:jc w:val="both"/>
      </w:pPr>
      <w:r>
        <w:rPr>
          <w:rFonts w:ascii="Traditional Arabic" w:cs="Traditional Arabic" w:eastAsia="Traditional Arabic" w:hAnsi="Traditional Arabic"/>
          <w:sz w:val="32"/>
          <w:szCs w:val="32"/>
          <w:rtl/>
        </w:rPr>
        <w:t xml:space="preserve">ومن القواعد المهمة والضوابط الفقهية المبنية على القاعدة الكلية «اليقين لا يزول بالشك» أن «الأصل في المياه الطهارة»؛ فالأصل المتيقَّن في الماء أنه طاهر، لا تزول طهوريته إلا بدليل، أما الشك فلا يُلغي هذه الطهورية عنه. يعني إنسان أتى إلى البرية فوجد ماءً، أو وجد خزانًا فيه ماء، وشك: قد يكون بال فيه سبع أو وقعت فيه نجاسة، نقول: الأصل أنه طهور؛ لأن عندنا أصلًا في الماء، قال الله عز وجل: ﴿وَأَنْزَلْنَا مِنَ السَّمَاءِ مَاءً طَهُورًا﴾، و﴿وَيُنَزِّلُ عَلَيْكُمْ مِنَ السَّمَاءِ مَاءً لِيُطَهِّرَكُمْ بِهِ﴾، والأصل في المياه ما جاء عن النبي عليه الصلاة والسلام: «إن الماء طهور»، فاعمل بهذا الأصل، ولا تنتقل عن هذا اليقين إلا بيقين.</w:t>
      </w:r>
    </w:p>
    <w:p>
      <w:pPr>
        <w:bidi/>
        <w:spacing w:after="200" w:line="360"/>
        <w:jc w:val="both"/>
      </w:pPr>
      <w:r>
        <w:rPr>
          <w:rFonts w:ascii="Traditional Arabic" w:cs="Traditional Arabic" w:eastAsia="Traditional Arabic" w:hAnsi="Traditional Arabic"/>
          <w:sz w:val="32"/>
          <w:szCs w:val="32"/>
          <w:rtl/>
        </w:rPr>
        <w:t xml:space="preserve">كذلك الأرض: الأصل في الأرض أنها طاهرة؛ لقوله عليه الصلاة والسلام: «جُعلت لي الأرض مسجدًا وطهورًا»، فيُحكم لها بالطهارة، ولا يُنتقل عن طهارة أي بقعة من بقاع الأرض إلا بدليل واضح، ولا يُلتفت للشك أنه قد يكون بال فيها الصبي أو وقعت فيها نجاسة؛ لأن عندنا أصلًا: «اليقين لا يزول بالشك». وهذا الضابط يُحتاج إليه في العبادات كثيرًا، وهو يريح الإنسان من الوسوسة، ومن أن يفتح عليه الشيطان باب التلاعب في عبادته.</w:t>
      </w:r>
    </w:p>
    <w:p>
      <w:pPr>
        <w:bidi/>
        <w:spacing w:after="200" w:line="360"/>
        <w:jc w:val="both"/>
      </w:pPr>
      <w:r>
        <w:rPr>
          <w:rFonts w:ascii="Traditional Arabic" w:cs="Traditional Arabic" w:eastAsia="Traditional Arabic" w:hAnsi="Traditional Arabic"/>
          <w:sz w:val="32"/>
          <w:szCs w:val="32"/>
          <w:rtl/>
        </w:rPr>
        <w:t xml:space="preserve">كذلك الأصل في الثياب المستعملة أنها طاهرة، ولا يُلتفت للشك؛ لأن الله عز وجل أعطانا آية عامة فقال سبحانه: ﴿هُوَ الَّذِي خَلَقَ لَكُمْ مَا فِي الْأَرْضِ جَمِيعًا﴾، وقوله عز وجل: ﴿لَكُمْ﴾ يعني إباحة لكم وامتنانًا منه سبحانه. وقال عز وجل: ﴿قُلْ مَنْ حَرَّمَ زِينَةَ اللَّهِ الَّتِي أَخْرَجَ لِعِبَادِهِ وَالطَّيِّبَاتِ مِنَ الرِّزْقِ﴾، فالثياب من الزينة، فهي مباحة للناس. فلو أتتنا ثياب من دول غير مسلمة لا نحتاج أن ننقعها قبل أن نلبسها من أجل أن نتأكد من طهارتها، فإننا نقول: إن هذا من التنطّع، والأصل أن هذه الأشياء طاهرة، ولا ننتقل عن هذا الأصل إلا بيقين.</w:t>
      </w:r>
    </w:p>
    <w:p>
      <w:pPr>
        <w:bidi/>
        <w:spacing w:after="200" w:line="360"/>
        <w:jc w:val="both"/>
      </w:pPr>
      <w:r>
        <w:rPr>
          <w:rFonts w:ascii="Traditional Arabic" w:cs="Traditional Arabic" w:eastAsia="Traditional Arabic" w:hAnsi="Traditional Arabic"/>
          <w:sz w:val="32"/>
          <w:szCs w:val="32"/>
          <w:rtl/>
        </w:rPr>
        <w:t xml:space="preserve">نكتفي بهذا القدر، 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2026-10-15T09:49:39.105Z</dcterms:created>
  <dcterms:modified xsi:type="dcterms:W3CDTF">2026-10-15T09:49:39.105Z</dcterms:modified>
</cp:coreProperties>
</file>

<file path=docProps/custom.xml><?xml version="1.0" encoding="utf-8"?>
<Properties xmlns="http://schemas.openxmlformats.org/officeDocument/2006/custom-properties" xmlns:vt="http://schemas.openxmlformats.org/officeDocument/2006/docPropsVTypes"/>
</file>