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15</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حلقة جديدة من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ومن القواعد الفقهية المهمة – التي تبيّن فضل الفقه الإسلامي على الأمة، في الأحكام الشرعية، وفي التنظيم القضائي، وسبق المسلمين لغيرهم في التراتيب الإدارية والحكم بين الناس – قاعدة مهمة يذكرها الفقهاء بقولهم: «يثبت تبعًا ما لا يثبت استقلالًا وقصدًا»، وقد يعبّرون عنها بعبارات أخرى، كقولهم: «يُغتفر في الشيء ضمنًا ما لا يُغتفر فيه قصدًا»، أو أحيانًا يقول الفقهاء: «يُغتفر في التوابع ما لا يُغتفر في الأوائل». هذا كله بمعنى واحد؛ فالتابع هو المشارك لغيره في الحكم، والاستقلال أن ينفرد بالحكم وحده.</w:t>
      </w:r>
    </w:p>
    <w:p>
      <w:pPr>
        <w:bidi/>
        <w:spacing w:after="200" w:line="360"/>
        <w:jc w:val="both"/>
      </w:pPr>
      <w:r>
        <w:rPr>
          <w:rFonts w:ascii="Traditional Arabic" w:cs="Traditional Arabic" w:eastAsia="Traditional Arabic" w:hAnsi="Traditional Arabic"/>
          <w:sz w:val="32"/>
          <w:szCs w:val="32"/>
          <w:rtl/>
        </w:rPr>
        <w:t xml:space="preserve">ما معنى القاعدة «يثبت الشيء تبعًا ولا يثبت استقلالًا»؟ معنى ذلك: أن الشيء قد يكون له حكم حال الانفراد، وله حكم إذا اشترك مع غيره؛ أي أنه يتغيّر حكمه بمتبوعه، ولا يصح هذا الحكم لو كان منفردًا. فيقول الفقهاء: نتسامح في هذا الشيء، أو في البقاء على هذا الأمر؛ لأنه جاء في خلال الأمر، وفي أثناء المعاملة، أو أثناء الشيء، ولا نتسامح فيه في الابتداء، عند إنشائه؛ لذلك يقولون: «البقاء أسهل من الابتداء». لماذا يقولون ذلك؟ يقولون: لأن التابع أيسر من المستقل، فهو داخل في ضمن غيره وفي حكمه؛ فبعض الأشياء تُمنع على سبيل الاستقلال، وتجوز على سبيل التبع. هذا هو معنى القاعدة إجمالًا، ودليلها، ثم في التفريعات والتطبيقات يتبيّن ويتّضح معنى القاعدة أكثر.</w:t>
      </w:r>
    </w:p>
    <w:p>
      <w:pPr>
        <w:bidi/>
        <w:spacing w:after="200" w:line="360"/>
        <w:jc w:val="both"/>
      </w:pPr>
      <w:r>
        <w:rPr>
          <w:rFonts w:ascii="Traditional Arabic" w:cs="Traditional Arabic" w:eastAsia="Traditional Arabic" w:hAnsi="Traditional Arabic"/>
          <w:sz w:val="32"/>
          <w:szCs w:val="32"/>
          <w:rtl/>
        </w:rPr>
        <w:t xml:space="preserve">من الأدلة على ذلك: أن النبي عليه الصلاة والسلام – كما جاء في الصحيحين – حرّق نخل بني النضير وقطع، وهذا جائز لما فيه من النكاية بالعدو. وهذا التحريق يدخل فيه تعذيب الحيوانات بالنار، من الحشرات والطيور، وتعذيب هذه الأشياء اعتداء، وعلى سبيل الاستقلال محرّم لا يجوز؛ لأنه لا يعذّب بالنار إلا رب النار. لكن النبي عليه الصلاة والسلام ما قصد هذه الأشياء، وإنما قصد النخل والشجر، وهذا جائز، فجاز تابعًا له ولو تعذّب شيء من هذه الحيوانات؛ لأن المصلحة العظيمة في النكاية بالعدو وكفّ شرّه عن المسلمين أعظم؛ لذلك جاز تابعًا لغيره. فلما كان التحريق فيه مصلحة، علم النبي صلى الله عليه وسلم أنه سيترتب على ذلك أن يحترق شيء، أو تصل النار لشيء من الحيوانات، و«يثبت تبعًا ما لا يثبت استقلالًا»؛ فلما كان تابعًا لغيره غير مقصود جاز ذلك. هذا هو دليل هذه القاعدة.</w:t>
      </w:r>
    </w:p>
    <w:p>
      <w:pPr>
        <w:bidi/>
        <w:spacing w:after="200" w:line="360"/>
        <w:jc w:val="both"/>
      </w:pPr>
      <w:r>
        <w:rPr>
          <w:rFonts w:ascii="Traditional Arabic" w:cs="Traditional Arabic" w:eastAsia="Traditional Arabic" w:hAnsi="Traditional Arabic"/>
          <w:sz w:val="32"/>
          <w:szCs w:val="32"/>
          <w:rtl/>
        </w:rPr>
        <w:t xml:space="preserve">ما أمثلة هذه القاعدة؟ أمثلة هذه القاعدة كثيرة، منها:</w:t>
      </w:r>
    </w:p>
    <w:p>
      <w:pPr>
        <w:bidi/>
        <w:spacing w:after="200" w:line="360"/>
        <w:jc w:val="both"/>
      </w:pPr>
      <w:r>
        <w:rPr>
          <w:rFonts w:ascii="Traditional Arabic" w:cs="Traditional Arabic" w:eastAsia="Traditional Arabic" w:hAnsi="Traditional Arabic"/>
          <w:sz w:val="32"/>
          <w:szCs w:val="32"/>
          <w:rtl/>
        </w:rPr>
        <w:t xml:space="preserve">يقولون: إن المأموم يسجد مع الإمام سجود السهو ولو لم يسهُ المأموم، وإنما كان السهو للإمام؛ فالمأموم هنا يزيد سجودًا في صلاته لأنه تبع للإمام، ولو زاد استقلالًا سجودًا دون سبب لبطلت صلاته، ولكن لما كان تابعًا للإمام زاد هذا السجود – سجود السهو – تبعًا للإمام، والصلاة صحيحة.</w:t>
      </w:r>
    </w:p>
    <w:p>
      <w:pPr>
        <w:bidi/>
        <w:spacing w:after="200" w:line="360"/>
        <w:jc w:val="both"/>
      </w:pPr>
      <w:r>
        <w:rPr>
          <w:rFonts w:ascii="Traditional Arabic" w:cs="Traditional Arabic" w:eastAsia="Traditional Arabic" w:hAnsi="Traditional Arabic"/>
          <w:sz w:val="32"/>
          <w:szCs w:val="32"/>
          <w:rtl/>
        </w:rPr>
        <w:t xml:space="preserve">كذلك من تطبيقات القاعدة «يثبت تبعًا ما لا يثبت استقلالًا»: أن يأتي المأموم والإمام في الركعة الثانية، لكنها الركعة الأولى للمأموم، فالإمام سيجلس للتشهد لأنها الركعة الثانية، والمأموم يتابعه ويجلس للتشهد، وفي حقه هي الركعة الأولى، ليس هناك موضع للجلوس للتشهد، لكن لما كان تابعًا للإمام جلس، وصحّ منه هذا الجلوس؛ لأنه يثبت تبعًا ما لا يثبت استقلالًا.</w:t>
      </w:r>
    </w:p>
    <w:p>
      <w:pPr>
        <w:bidi/>
        <w:spacing w:after="200" w:line="360"/>
        <w:jc w:val="both"/>
      </w:pPr>
      <w:r>
        <w:rPr>
          <w:rFonts w:ascii="Traditional Arabic" w:cs="Traditional Arabic" w:eastAsia="Traditional Arabic" w:hAnsi="Traditional Arabic"/>
          <w:sz w:val="32"/>
          <w:szCs w:val="32"/>
          <w:rtl/>
        </w:rPr>
        <w:t xml:space="preserve">كذلك من الأمور التي يذكرها الفقهاء: قالوا: «ذكاة الجنين ذكاة أمه» كما جاء في الحديث، فيحلّ بذكاة أمه إذا خرج ميتًا؛ فعندما نحرنا شاة أو إبلًا، أو ذبحنا شاة، ثم عند السلخ تبيّن أنها حامل، فيها جنين، هل يحلّ هذا الجنين أو لا يحلّ؟ قالوا: يحلّ بذكاة أمه، ولا يحتاج إلى ذكاة. أما لو خرج حيًا حياة مستقرة فلا يحلّ إلا بذكاة.</w:t>
      </w:r>
    </w:p>
    <w:p>
      <w:pPr>
        <w:bidi/>
        <w:spacing w:after="200" w:line="360"/>
        <w:jc w:val="both"/>
      </w:pPr>
      <w:r>
        <w:rPr>
          <w:rFonts w:ascii="Traditional Arabic" w:cs="Traditional Arabic" w:eastAsia="Traditional Arabic" w:hAnsi="Traditional Arabic"/>
          <w:sz w:val="32"/>
          <w:szCs w:val="32"/>
          <w:rtl/>
        </w:rPr>
        <w:t xml:space="preserve">كذلك شهادة النساء بالولادة: لو أتت القابلات وولّدن امرأة، وقلن: إنها ولدت ولدًا، فهنا ثبتت الولادة، والنساء لا دخل لهن في إثبات النسب، فيثبت نسب هذا الولد لهذه المرأة ولزوجها تبعًا لا استقلالًا؛ لأن النسب لا يثبت بشهادة النساء استقلالًا؛ فلو أنه كان مجهول النسب، فشهدت مجموعة من النساء – امرأة أو امرأتان – أن هذا ابن فلان، وهو مجهول النسب، فإنه لا يثبت النسب، بل لا بد من شهادة الرجال في هذا. لكن لو شهدن بالولادة – قمن بتوليد هذه المرأة – فيُنسب الولد لفلان تبعًا؛ إذ ثبتت بشهادتهن الولادة، ويثبت النسب تبعًا لا استقلالًا.</w:t>
      </w:r>
    </w:p>
    <w:p>
      <w:pPr>
        <w:bidi/>
        <w:spacing w:after="200" w:line="360"/>
        <w:jc w:val="both"/>
      </w:pPr>
      <w:r>
        <w:rPr>
          <w:rFonts w:ascii="Traditional Arabic" w:cs="Traditional Arabic" w:eastAsia="Traditional Arabic" w:hAnsi="Traditional Arabic"/>
          <w:sz w:val="32"/>
          <w:szCs w:val="32"/>
          <w:rtl/>
        </w:rPr>
        <w:t xml:space="preserve">كذلك من المسائل التي فرّعوها على هذه القاعدة: اللبن في الضرع لا يجوز بيعه؛ كأن يأتي رجل إلى السوق يقول: بعتك هذا اللبن في ناقتي، أو هذا اللبن في هذه الشاة بدينار، هذا لا يجوز لأنه مجهول. لكن يجوز لك أن تبيع الشاة ولبنها، أو البقرة وفيها اللبن؛ لأنه يثبت تبعًا ما لا يثبت استقلالًا، وتزيد في قيمة الشاة لأنها ذات لبن، تزيد تقول: هذه كثيرة اللبن، وقيمتها هكذا، تزيد مثلًا دينارين أو ثلاثة. لماذا؟ قال: لأنها كثيرة اللبن. ما دام أن هذا تابع للأصل – وهو بيع الشاة – فيجوز، أما أن يبيع اللبن في الضرع فلا يجوز استقلالًا، أما تابعًا فيجوز؛ لأنه لا جهالة في شراء الشاة والبقرة.</w:t>
      </w:r>
    </w:p>
    <w:p>
      <w:pPr>
        <w:bidi/>
        <w:spacing w:after="200" w:line="360"/>
        <w:jc w:val="both"/>
      </w:pPr>
      <w:r>
        <w:rPr>
          <w:rFonts w:ascii="Traditional Arabic" w:cs="Traditional Arabic" w:eastAsia="Traditional Arabic" w:hAnsi="Traditional Arabic"/>
          <w:sz w:val="32"/>
          <w:szCs w:val="32"/>
          <w:rtl/>
        </w:rPr>
        <w:t xml:space="preserve">كذلك قالوا: إن المرأة لا تملك الطلاق، لكن لو أن امرأة شهدت بالرضاع فإننا نحكم بفسخ النكاح، مع أن المرأة في الأصل لا تملك الطلاق؛ لأن الطلاق – كما جاء في الأثر – لمن أخذ بالساق، لكن لما شهدت بالرضاع تبع ذلك انتفاء صحة هذا العقد، فيثبت تبعًا ما لا يثبت استقلالًا.</w:t>
      </w:r>
    </w:p>
    <w:p>
      <w:pPr>
        <w:bidi/>
        <w:spacing w:after="200" w:line="360"/>
        <w:jc w:val="both"/>
      </w:pPr>
      <w:r>
        <w:rPr>
          <w:rFonts w:ascii="Traditional Arabic" w:cs="Traditional Arabic" w:eastAsia="Traditional Arabic" w:hAnsi="Traditional Arabic"/>
          <w:sz w:val="32"/>
          <w:szCs w:val="32"/>
          <w:rtl/>
        </w:rPr>
        <w:t xml:space="preserve">كذلك الصلاة: لا يجوز لإنسان أن ينوب عن آخر في الصلاة، يقول: وأنا سأصلي عنه، لا يجوز، ولا تصح النيابة. لكن لو ناب عنه في الحج – لو أن إنسانًا حيًّا عاجزًا عن الحج، وقادرًا بماله، فأقام من يحج عنه – وهذا ذهب للحج وطاف، ثم صلى ركعتي الطواف، فهذه ركعتا طواف عن هذا المحجوج عنه، وتدخل ركعتا الطواف تبعًا لا استقلالًا.</w:t>
      </w:r>
    </w:p>
    <w:p>
      <w:pPr>
        <w:bidi/>
        <w:spacing w:after="200" w:line="360"/>
        <w:jc w:val="both"/>
      </w:pPr>
      <w:r>
        <w:rPr>
          <w:rFonts w:ascii="Traditional Arabic" w:cs="Traditional Arabic" w:eastAsia="Traditional Arabic" w:hAnsi="Traditional Arabic"/>
          <w:sz w:val="32"/>
          <w:szCs w:val="32"/>
          <w:rtl/>
        </w:rPr>
        <w:t xml:space="preserve">كذلك قالوا: لو حلف إنسان، قال: والله لا أشتري الصوف، وحلف على هذا أنه لا يشتري الصوف، ثم اشترى شاة، والشاة لا تخلو من الصوف على ظهرها، لم يحنث؛ لأن الصوف لم يكن مستقلًا، وإنما تابعًا للشاة، فلم يحنث في يمينه.</w:t>
      </w:r>
    </w:p>
    <w:p>
      <w:pPr>
        <w:bidi/>
        <w:spacing w:after="200" w:line="360"/>
        <w:jc w:val="both"/>
      </w:pPr>
      <w:r>
        <w:rPr>
          <w:rFonts w:ascii="Traditional Arabic" w:cs="Traditional Arabic" w:eastAsia="Traditional Arabic" w:hAnsi="Traditional Arabic"/>
          <w:sz w:val="32"/>
          <w:szCs w:val="32"/>
          <w:rtl/>
        </w:rPr>
        <w:t xml:space="preserve">ومن القواعد الفقهية المهمة المؤصَّلة في الفقه الإسلامي، والنافعة في القضاء الشرعي، قول الفقهاء: «إذا قويت القرائن قُدّمت على الأصل». والقرائن المقصود بها: ما يحتفّ بالحكم والقضية من الأمور التي يمكن منها أن نستشفّ الحق، ونعرف ونتوصل إلى الحق؛ فالقرائن معتبرة، وإذا قويت هذه القرائن فإننا نقدّمها على الأصل.</w:t>
      </w:r>
    </w:p>
    <w:p>
      <w:pPr>
        <w:bidi/>
        <w:spacing w:after="200" w:line="360"/>
        <w:jc w:val="both"/>
      </w:pPr>
      <w:r>
        <w:rPr>
          <w:rFonts w:ascii="Traditional Arabic" w:cs="Traditional Arabic" w:eastAsia="Traditional Arabic" w:hAnsi="Traditional Arabic"/>
          <w:sz w:val="32"/>
          <w:szCs w:val="32"/>
          <w:rtl/>
        </w:rPr>
        <w:t xml:space="preserve">والأدلة على اعتبار القرائن كثيرة جدًا؛ والأئمة الأربعة متفقون على اعتبار القرائن في الجملة: في الأحكام والقضايا، في العبادات، في المعاوضات، في التبرعات والأنكحة، يذكرون القرائن كثيرًا في تطبيقاتهم: «إذا قويت القرائن قُدّمت على الأصل»؛ لأن الله عز وجل أعطانا آيات في ذلك، قال عز وجل: ﴿وَجَاءُوا عَلَى قَمِيصِهِ بِدَمٍ كَذِبٍ قَالَ بَلْ سَوَّلَتْ لَكُمْ أَنْفُسُكُمْ أَمْرًا فَصَبْرٌ جَمِيلٌ﴾ الآية؛ فوضعوا الدم على قميص يوسف بناءً على أنه قرينة على أكل الذئب له، فهم أتوا بقرينة، لكن هذه القرينة باطلة؛ لأنهم أتوا بالقميص دون أن يكون ممزقًا، وإنما ملطّخًا بالدم.</w:t>
      </w:r>
    </w:p>
    <w:p>
      <w:pPr>
        <w:bidi/>
        <w:spacing w:after="200" w:line="360"/>
        <w:jc w:val="both"/>
      </w:pPr>
      <w:r>
        <w:rPr>
          <w:rFonts w:ascii="Traditional Arabic" w:cs="Traditional Arabic" w:eastAsia="Traditional Arabic" w:hAnsi="Traditional Arabic"/>
          <w:sz w:val="32"/>
          <w:szCs w:val="32"/>
          <w:rtl/>
        </w:rPr>
        <w:t xml:space="preserve">كذلك قوله عليه الصلاة والسلام: «لا تُنكح الأيّم حتى تُستأمر، ولا تُنكح البكر حتى تُستأذن»، قالوا: يا رسول الله، كيف إذنها؟ قال: «أن تسكت»، كما جاء في الصحيح. فجعل النبي عليه الصلاة والسلام السكوت قرينة على الرضا؛ مع أنها لم تتكلم، لكن هذه قرينة، ما دام أنها سكتت فإنها راضية. فإذا قويت القرائن قُدّمت على الأصل.</w:t>
      </w:r>
    </w:p>
    <w:p>
      <w:pPr>
        <w:bidi/>
        <w:spacing w:after="200" w:line="360"/>
        <w:jc w:val="both"/>
      </w:pPr>
      <w:r>
        <w:rPr>
          <w:rFonts w:ascii="Traditional Arabic" w:cs="Traditional Arabic" w:eastAsia="Traditional Arabic" w:hAnsi="Traditional Arabic"/>
          <w:sz w:val="32"/>
          <w:szCs w:val="32"/>
          <w:rtl/>
        </w:rPr>
        <w:t xml:space="preserve">ومن أمثلة هذه القاعدة: قالوا: إذا اختلف المتبايعان في ثمن السلعة، هذا يقول: بعشرة دنانير مثلًا، وهذا يقول: لا، بعشرين. فالأصل أنه إذا اختلف المتبايعان وليس بينهما بيّنة، فالقول ما يقول ربّ السلعة؛ لأنه مالكها، وهو البائع، فما يقوله هو الذي نصدّقه، هذا حكم النبي صلى الله عليه وسلم؛ أن القول قول البائع. لكن إذا ادّعى البائع ثمنًا يخالف العادة، قال: هذه السلعة بعتها بمئة دينار، وادّعى المشتري ثمانين، ووافق العادة – أي أن هذه السلعة ثمنها عادةً نحو ذلك – فهذه قرينة تدل على أن المشتري هو الصادق، فهنا نقدّم هذه القرينة على الأصل، وإن كان الأصل أن الكلام كلام البائع.</w:t>
      </w:r>
    </w:p>
    <w:p>
      <w:pPr>
        <w:bidi/>
        <w:spacing w:after="200" w:line="360"/>
        <w:jc w:val="both"/>
      </w:pPr>
      <w:r>
        <w:rPr>
          <w:rFonts w:ascii="Traditional Arabic" w:cs="Traditional Arabic" w:eastAsia="Traditional Arabic" w:hAnsi="Traditional Arabic"/>
          <w:sz w:val="32"/>
          <w:szCs w:val="32"/>
          <w:rtl/>
        </w:rPr>
        <w:t xml:space="preserve">والقرائن من البيّنات، لكن البيّنات تختلف قوةً، فهي على درجات. وجمهور أهل العلم يقولون: إنه يُعمل بالقرائن في كل شيء إلا الحدود والقصاص؛ فلا نأخذ فيها بالقرائن، بل نأخذ بالأمور البيّنة الواضحة. هذا هو قول جمهور أهل العلم.</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2026-10-15T09:49:39.989Z</dcterms:created>
  <dcterms:modified xsi:type="dcterms:W3CDTF">2026-10-15T09:49:39.989Z</dcterms:modified>
</cp:coreProperties>
</file>

<file path=docProps/custom.xml><?xml version="1.0" encoding="utf-8"?>
<Properties xmlns="http://schemas.openxmlformats.org/officeDocument/2006/custom-properties" xmlns:vt="http://schemas.openxmlformats.org/officeDocument/2006/docPropsVTypes"/>
</file>