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16</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والعاقبة للمتقين، ولا عدوان إلا على الظالمين، والصلاة والسلام على من بعثه ربه رحمة للعالمين. اللهم أصلح قلوبنا وأعمالنا، واجعلنا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ومن القواعد الفقهية المهمة ما ذكره الفقهاء في قولهم: «الأسباب والدواعي للعقود والتبرعات معتبرة». هذه القاعدة كثير من المسائل داخلة تحتها، وهي من ثمرات القاعدة الفقهية الكبرى «الأمور بمقاصدها»، وهذه القاعدة فرع عنها، وخُصّت وحدها لكثرة المسائل المتفرعة عنها.</w:t>
      </w:r>
    </w:p>
    <w:p>
      <w:pPr>
        <w:bidi/>
        <w:spacing w:after="200" w:line="360"/>
        <w:jc w:val="both"/>
      </w:pPr>
      <w:r>
        <w:rPr>
          <w:rFonts w:ascii="Traditional Arabic" w:cs="Traditional Arabic" w:eastAsia="Traditional Arabic" w:hAnsi="Traditional Arabic"/>
          <w:sz w:val="32"/>
          <w:szCs w:val="32"/>
          <w:rtl/>
        </w:rPr>
        <w:t xml:space="preserve">ودليل هذه القاعدة قول النبي عليه الصلاة والسلام: «إنما الأعمال بالنيات»؛ فالمقصود في العقود هو ما دخل فيه الإنسان لأجله، فالأسباب والدواعي للعقد معتبرة في الشرع، فالمقصود في العقود معتبر. ويدخل تحت هذه القاعدة الحيل في باب العقود؛ فلو كان قصده بيع ربا بطل هذا البيع، ولو جعل صورته صورة ظاهرها عقد صحيح، كما لو باع بيع العِينة؛ فإن بيع العينة من صور وفروع البيع الربوي.</w:t>
      </w:r>
    </w:p>
    <w:p>
      <w:pPr>
        <w:bidi/>
        <w:spacing w:after="200" w:line="360"/>
        <w:jc w:val="both"/>
      </w:pPr>
      <w:r>
        <w:rPr>
          <w:rFonts w:ascii="Traditional Arabic" w:cs="Traditional Arabic" w:eastAsia="Traditional Arabic" w:hAnsi="Traditional Arabic"/>
          <w:sz w:val="32"/>
          <w:szCs w:val="32"/>
          <w:rtl/>
        </w:rPr>
        <w:t xml:space="preserve">كذلك ما يتعلق بالتبرعات؛ فهذه القاعدة تدخل في عقود المعاوضات، وفي عقود الأنكحة، وفي التبرعات، كذلك في أحكام الأيمان والشهادات والقضاء؛ فالدواعي والأسباب للعقود والتبرعات معتبرة.</w:t>
      </w:r>
    </w:p>
    <w:p>
      <w:pPr>
        <w:bidi/>
        <w:spacing w:after="200" w:line="360"/>
        <w:jc w:val="both"/>
      </w:pPr>
      <w:r>
        <w:rPr>
          <w:rFonts w:ascii="Traditional Arabic" w:cs="Traditional Arabic" w:eastAsia="Traditional Arabic" w:hAnsi="Traditional Arabic"/>
          <w:sz w:val="32"/>
          <w:szCs w:val="32"/>
          <w:rtl/>
        </w:rPr>
        <w:t xml:space="preserve">من ذلك أن العاقد لهذا العقد إذا عقد عقدًا، وهناك سبب وداعٍ حمله على هذا العقد، فإن هذا السبب وهذا الداعي معتبر في الحكم على هذا العقد؛ لأن الله عز وجل يقول: ﴿يَا أَيُّهَا الَّذِينَ آمَنُوا لَا تَأْكُلُوا أَمْوَالَكُمْ بَيْنَكُمْ بِالْبَاطِلِ إِلَّا أَنْ تَكُونَ تِجَارَةً عَنْ تَرَاضٍ مِنْكُمْ﴾، وقال سبحانه: ﴿وَآتُوا النِّسَاءَ صَدُقَاتِهِنَّ نِحْلَةً فَإِنْ طِبْنَ لَكُمْ عَنْ شَيْءٍ مِنْهُ نَفْسًا فَكُلُوهُ هَنِيئًا مَرِيئًا﴾، وقال عليه الصلاة والسلام: «إنما البيع عن تراض»، كما في حديث أبي سعيد.</w:t>
      </w:r>
    </w:p>
    <w:p>
      <w:pPr>
        <w:bidi/>
        <w:spacing w:after="200" w:line="360"/>
        <w:jc w:val="both"/>
      </w:pPr>
      <w:r>
        <w:rPr>
          <w:rFonts w:ascii="Traditional Arabic" w:cs="Traditional Arabic" w:eastAsia="Traditional Arabic" w:hAnsi="Traditional Arabic"/>
          <w:sz w:val="32"/>
          <w:szCs w:val="32"/>
          <w:rtl/>
        </w:rPr>
        <w:t xml:space="preserve">وهذه القاعدة لها فروع كثيرة؛ نأخذ من فروعها:</w:t>
      </w:r>
    </w:p>
    <w:p>
      <w:pPr>
        <w:bidi/>
        <w:spacing w:after="200" w:line="360"/>
        <w:jc w:val="both"/>
      </w:pPr>
      <w:r>
        <w:rPr>
          <w:rFonts w:ascii="Traditional Arabic" w:cs="Traditional Arabic" w:eastAsia="Traditional Arabic" w:hAnsi="Traditional Arabic"/>
          <w:sz w:val="32"/>
          <w:szCs w:val="32"/>
          <w:rtl/>
        </w:rPr>
        <w:t xml:space="preserve">لو أن الإنسان أقرض إنسانًا قرضًا، فصار المقترض – الذي أخذ المال – يهدي للمقرض، ففي هذه الحال ننظر في هذه الهدية، فنقول: هل كنت تهدي له من قبل؟ قال: لا، لكنه أقرضني فأهدي له من باب الحسنة. قلنا: هذا لا يجوز؛ لأن قصده بالهدية المكافأة على القرض، والقرض عقد إحسان، يُراد به وجه الله عز وجل، والقرض من المصالح التي جاءت النصوص بفضله، فلا يجوز أن أسلك به مسلك الربح وأتخذه تجارة، فيبطل المقصود الشرعي؛ لأن العقود عندنا في الشريعة عقود أخلاقية، والمعاملات عندنا في الشريعة مبنية على أساس… والقرض الأصل فيه أنك أحسنت إلى الناس؛ أعطيته ألف دينار يردّها لك بعد شهر، بعد سنة، فلا تأخذ الهدية على ذلك وتجرّ لنفسك نفعًا؛ لأن الأصل أن يرجع لك الألف. نقول: إذا كنت لا تهديه من قبل، وإنما تهديه من أجل أنه أقرضك، فأنا أقول: هذا لا يجوز؛ لأن قصده بالهدية المكافأة على القرض.</w:t>
      </w:r>
    </w:p>
    <w:p>
      <w:pPr>
        <w:bidi/>
        <w:spacing w:after="200" w:line="360"/>
        <w:jc w:val="both"/>
      </w:pPr>
      <w:r>
        <w:rPr>
          <w:rFonts w:ascii="Traditional Arabic" w:cs="Traditional Arabic" w:eastAsia="Traditional Arabic" w:hAnsi="Traditional Arabic"/>
          <w:sz w:val="32"/>
          <w:szCs w:val="32"/>
          <w:rtl/>
        </w:rPr>
        <w:t xml:space="preserve">ومن فروع هذه القاعدة: عقود الإنسان المكرَه؛ إذا عقد الإنسان عقدًا وهو مكره، فإن الذي حمله على هذا العقد الإكراه، فنعتبر هذا الداعي الذي دعاه لهذا العقد، ونضع في الاعتبار هذا الإكراه، فنقول: هذا العقد باطل، مع أن الصورة صحيحة: فيه شهود، وفيه عقد صحيح؛ عقد بيع، عقد إجارة، عقد زواج، فسخ، طلاق. وننظر إلى الأسباب؛ قال: أنا ما عقدت هذا العقد إلا وأنا مكره. نقول: لا عبرة بهذا العقد ولو كانت صورته الظاهرة صورة صحيحة، فنقول: غير منعقد، ولا تترتب عليه آثاره، والذي أخذ هذه السلعة وهذا البيت هو في الحقيقة غاصب، ولا يحل له هذا البيت ولو كانت الإجراءات الإدارية مثلًا تخدمه؛ فإن هذا لا يحل له هذا الأمر عند الله عز وجل؛ لأن الله عز وجل قال: ﴿فَإِنْ طِبْنَ لَكُمْ عَنْ شَيْءٍ مِنْهُ نَفْسًا فَكُلُوهُ هَنِيئًا مَرِيئًا﴾، فعلّق ذلك بالرضا، أما إذا صدر عن غير اختيار فلا عبرة به.</w:t>
      </w:r>
    </w:p>
    <w:p>
      <w:pPr>
        <w:bidi/>
        <w:spacing w:after="200" w:line="360"/>
        <w:jc w:val="both"/>
      </w:pPr>
      <w:r>
        <w:rPr>
          <w:rFonts w:ascii="Traditional Arabic" w:cs="Traditional Arabic" w:eastAsia="Traditional Arabic" w:hAnsi="Traditional Arabic"/>
          <w:sz w:val="32"/>
          <w:szCs w:val="32"/>
          <w:rtl/>
        </w:rPr>
        <w:t xml:space="preserve">كذلك لو قال لزوجته: إن كلّمتِ فلانًا فأنتِ طالق، اعتُبر السبب الذي دعاه إلى طلاق زوجته إذا كلّمت فلانًا، أو إذا خرجت من الدار. والسبب هو أن فلانًا مثلًا رجل فاسق، ثم تغيّر، وأصبح رجلًا عدلًا، ترك فسقه وتاب إلى الله عز وجل؛ فإذا كلّمت هذه المرأة هذا الذي من محارمها الذي كان فاسقًا، وقد زال السبب الذي حملك على أن تطلّق – وهو أنه فاسق – ننظر: الآن هو أصبح رجلًا عدلًا، أصبح رجلًا صالحًا، ترك فسقه وتاب إلى الله، فإذا كلّمته هذه المرة فإنها لا تطلق.</w:t>
      </w:r>
    </w:p>
    <w:p>
      <w:pPr>
        <w:bidi/>
        <w:spacing w:after="200" w:line="360"/>
        <w:jc w:val="both"/>
      </w:pPr>
      <w:r>
        <w:rPr>
          <w:rFonts w:ascii="Traditional Arabic" w:cs="Traditional Arabic" w:eastAsia="Traditional Arabic" w:hAnsi="Traditional Arabic"/>
          <w:sz w:val="32"/>
          <w:szCs w:val="32"/>
          <w:rtl/>
        </w:rPr>
        <w:t xml:space="preserve">كذلك إذا قال: إن دخلتِ بيت فلان فأنتِ طالق؛ لأن بيت فلان مثلًا فيه شيء من المعاصي واللهو المحرم، ثم تاب فلان وأخرج ما عنده من اللهو المحرم وصلح، فإنها لا تطلق؛ لأن السبب الذي حمله على هذا الطلاق غير موجود، فنعتبر الأسباب.</w:t>
      </w:r>
    </w:p>
    <w:p>
      <w:pPr>
        <w:bidi/>
        <w:spacing w:after="200" w:line="360"/>
        <w:jc w:val="both"/>
      </w:pPr>
      <w:r>
        <w:rPr>
          <w:rFonts w:ascii="Traditional Arabic" w:cs="Traditional Arabic" w:eastAsia="Traditional Arabic" w:hAnsi="Traditional Arabic"/>
          <w:sz w:val="32"/>
          <w:szCs w:val="32"/>
          <w:rtl/>
        </w:rPr>
        <w:t xml:space="preserve">كذلك مثلًا: لو قال إنسان: إن لم أسافر اليوم إلى مكة فعليّ صيام شهر، فالداعي والسبب لهذا النذر هو أن يحثّ نفسه على هذا السفر، فإذا لم يسافر ذلك اليوم إلى مكة فإنما عليه كفارة يمين؛ إن أراد أن يصوم، أو إن أراد أن يكفّر عن يمين؛ لأنه لم يقصد النذر بذاته، إنما الذي حمله على ذلك أن يحثّ نفسه على هذا السفر.</w:t>
      </w:r>
    </w:p>
    <w:p>
      <w:pPr>
        <w:bidi/>
        <w:spacing w:after="200" w:line="360"/>
        <w:jc w:val="both"/>
      </w:pPr>
      <w:r>
        <w:rPr>
          <w:rFonts w:ascii="Traditional Arabic" w:cs="Traditional Arabic" w:eastAsia="Traditional Arabic" w:hAnsi="Traditional Arabic"/>
          <w:sz w:val="32"/>
          <w:szCs w:val="32"/>
          <w:rtl/>
        </w:rPr>
        <w:t xml:space="preserve">كذلك ما يحصل كثيرًا من بعض الأصحاب: يعني لو وهب إنسان لشخص شيئًا، أو تنازل لشخص عن شيء حياءً وخجلًا، فالذي حمله على أن وهب ماله أو تنازل عن شيء من حقه هو الخجل والحياء، فنعتبر هذا السبب، ونقول: لا يجوز للموهوب له أن يقبله. قال: أنا قبلت. نقول: أرجعه؛ لأنه وإن رضي في الظاهر، فإن السبب الذي حمله على هذا الرضا هو الحياء، فإنه لم يرضَ في الباطن، والأصل أنه لا يحل مال امرئ مسلم إلا بطيب نفس منه؛ فنعتبر الأسباب التي أدّت للعقود.</w:t>
      </w:r>
    </w:p>
    <w:p>
      <w:pPr>
        <w:bidi/>
        <w:spacing w:after="200" w:line="360"/>
        <w:jc w:val="both"/>
      </w:pPr>
      <w:r>
        <w:rPr>
          <w:rFonts w:ascii="Traditional Arabic" w:cs="Traditional Arabic" w:eastAsia="Traditional Arabic" w:hAnsi="Traditional Arabic"/>
          <w:sz w:val="32"/>
          <w:szCs w:val="32"/>
          <w:rtl/>
        </w:rPr>
        <w:t xml:space="preserve">كذلك مثلًا: لو أن إنسانًا أراد أن يسافر في رمضان ليتخلّص من الصوم، قال: أنا والله أريد أن أسافر هذين اليومين لأرتاح من الصيام؛ فالذي حمله على السفر ما هو؟ الفرار من الصيام في رمضان. نقول هنا: لا يجوز لك هذا الفطر؛ لأنك تحيّلت على إسقاط ركن من أركان الإسلام. لكن لو سافر وهو في الأصل مسافر، فيجوز له أن يفطر في نهار رمضان؛ لأن الله أجاز له ذلك.</w:t>
      </w:r>
    </w:p>
    <w:p>
      <w:pPr>
        <w:bidi/>
        <w:spacing w:after="200" w:line="360"/>
        <w:jc w:val="both"/>
      </w:pPr>
      <w:r>
        <w:rPr>
          <w:rFonts w:ascii="Traditional Arabic" w:cs="Traditional Arabic" w:eastAsia="Traditional Arabic" w:hAnsi="Traditional Arabic"/>
          <w:sz w:val="32"/>
          <w:szCs w:val="32"/>
          <w:rtl/>
        </w:rPr>
        <w:t xml:space="preserve">وكذلك صلاة الجماعة واجبة على الرجال في المساجد على الصحيح من قولي أهل العلم، فلو أن الإنسان تعمّد، قال: أريد أن آكل بصلًا أو ثومًا، لكي يتحيّل بذلك على ترك الجماعة، نقول له: لا يجوز لك ذلك. لكن لو وُضع له في العشاء – وكان قبل صلاة العشاء – ثوم أو بصل، وأكل منه، قال: لا أصلي في المسجد؛ لأنه عذر يبيح له ترك المسجد، حتى لا يؤذي المصلين، كما جاء في الحديث الصحيح، وهنا لا بأس. لكن لو تعمّد، قال: أنا أريد أن آكل الآن حتى لا أصلي مع الجماعة، فنقول: لا يجوز لك ذلك.</w:t>
      </w:r>
    </w:p>
    <w:p>
      <w:pPr>
        <w:bidi/>
        <w:spacing w:after="200" w:line="360"/>
        <w:jc w:val="both"/>
      </w:pPr>
      <w:r>
        <w:rPr>
          <w:rFonts w:ascii="Traditional Arabic" w:cs="Traditional Arabic" w:eastAsia="Traditional Arabic" w:hAnsi="Traditional Arabic"/>
          <w:sz w:val="32"/>
          <w:szCs w:val="32"/>
          <w:rtl/>
        </w:rPr>
        <w:t xml:space="preserve">كذلك إذا طلّق إنسان زوجته ثلاث طلقات، فإنها لا تحل له حتى تنكح زوجًا غيره، فلو جاء إنسان أراد – بزعمه – أن يفعل خيرًا، وأن يقرّب بينهما، وتحيّل لتحليلها لزوجها، فعقد عليها ودخل بها لكي يحلّها لزوجها، فإننا نعتبر هذا الداعي الذي حمله على هذا الفعل، وهو أنه يريد أن يحلّها لزوجها، فنقول: بأنها لا تحل لزوجها ولو تزوجها، ما دام أنه تحيّل على إحلالها لزوجها، وقصد من زواجها أن يحلّها لزوجها، ولم يقصد الاستمرار، ولم ينكح نكاح راغب في الاستمرار، وإنما أراد أن يحلّها لزوجها فترة. نقول: ما دام أن الحامل لك هذه النية فإنها لا تحل لزوجها حتى تنكح زوجًا غيره، كما صرّح الله في القرآن بذلك؛ ولهذا لعن النبي صلى الله عليه وسلم المحلِّل والمحلَّل له.</w:t>
      </w:r>
    </w:p>
    <w:p>
      <w:pPr>
        <w:bidi/>
        <w:spacing w:after="200" w:line="360"/>
        <w:jc w:val="both"/>
      </w:pPr>
      <w:r>
        <w:rPr>
          <w:rFonts w:ascii="Traditional Arabic" w:cs="Traditional Arabic" w:eastAsia="Traditional Arabic" w:hAnsi="Traditional Arabic"/>
          <w:sz w:val="32"/>
          <w:szCs w:val="32"/>
          <w:rtl/>
        </w:rPr>
        <w:t xml:space="preserve">أيضًا ومن ضمن المسائل المتفرعة على هذه القاعدة المهمة – وهي اعتبار الأسباب والدواعي للعقود، وأننا نعتبر السبب الحامل على هذا العقد: ما السبب الذي حمله على هذا الفعل؟ – من ذلك هدايا العمّال؛ العمال الذين يعملون في الجهات الحكومية لا يجوز لهم قبول الهدايا؛ لأنه إذا أُهدي لعامل من العمال فإنما أُهدي له لأجل عمالته، ولم يُهدَ له لأجل قرابته، أو صداقة بينهما، أو زمالة في عمل، وإنما أُهدي له لأنه أنجز له معاملة أو عمل له شيئًا. نقول: هذا هو الواجب عليه، وهو يتقاضى على هذا أجرًا؛ ولذلك سدّت الشريعة الحكيمة باب الرشوة وأكل أموال الناس بعضهم لبعض، بل الشريعة جاءت بما يصلح الناس، وبما يحقق العدل، وبما يضمن الحقوق. فالطعن ليس في الشريعة، وإنما الطعن فيمن تنحّى عن الشريعة ثم يتهمها بأنها قاصرة عن إدارة حياة الناس، بل الشريعة كاملة في جميع جوانبها.</w:t>
      </w:r>
    </w:p>
    <w:p>
      <w:pPr>
        <w:bidi/>
        <w:spacing w:after="200" w:line="360"/>
        <w:jc w:val="both"/>
      </w:pPr>
      <w:r>
        <w:rPr>
          <w:rFonts w:ascii="Traditional Arabic" w:cs="Traditional Arabic" w:eastAsia="Traditional Arabic" w:hAnsi="Traditional Arabic"/>
          <w:sz w:val="32"/>
          <w:szCs w:val="32"/>
          <w:rtl/>
        </w:rPr>
        <w:t xml:space="preserve">قال النبي عليه الصلاة والسلام: «هدايا العمّال غُلول»، رواه الإمام أحمد وغيره، فلا يجوز لهم قبول الهدايا؛ لأنهم عمّال، كما قال عليه الصلاة والسلام في حديث ابن اللُّتبية لما بعثه على الصدقات، فأعطاه الناس – لأنه رسول رسول الله صلى الله عليه وسلم – فقال: هذا لكم – أي هذه الصدقات – وهذا أُهدي لي. فقال النبي صلى الله عليه وسلم: «هلّا جلس في بيت أبيه وأمه فينظر أيُهدى إليه أم لا؟»؛ فلو قعد في بيت أبيه وأمه… المقصود أنه ما أُهدي له إلا لأنه عامل الصدقة، فيُقصد بالهدية أمور ممنوعة، قد يُقصد منها تخفيف الأخذ عليهم أو مسامحتهم أو ما أشبه ذلك؛ فسدّ النبي عليه الصلاة والسلام الباب بهذا. و«هدايا العمال غلول»، كأنها غلول من الغنيمة؛ تعظيمًا لشأن هذه الهدية، وأنها حرام، كأنها غلول من الغنيمة قبل قسمتها.</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2026-10-15T09:49:40.165Z</dcterms:created>
  <dcterms:modified xsi:type="dcterms:W3CDTF">2026-10-15T09:49:40.165Z</dcterms:modified>
</cp:coreProperties>
</file>

<file path=docProps/custom.xml><?xml version="1.0" encoding="utf-8"?>
<Properties xmlns="http://schemas.openxmlformats.org/officeDocument/2006/custom-properties" xmlns:vt="http://schemas.openxmlformats.org/officeDocument/2006/docPropsVTypes"/>
</file>