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bidi/>
        <w:spacing w:after="300"/>
        <w:jc w:val="center"/>
      </w:pPr>
      <w:r>
        <w:rPr>
          <w:rFonts w:ascii="Traditional Arabic" w:cs="Traditional Arabic" w:eastAsia="Traditional Arabic" w:hAnsi="Traditional Arabic"/>
          <w:b/>
          <w:bCs/>
          <w:sz w:val="40"/>
          <w:szCs w:val="40"/>
          <w:rtl/>
        </w:rPr>
        <w:t xml:space="preserve">القواعد الفقهية – الحلقة 17</w:t>
      </w:r>
    </w:p>
    <w:p>
      <w:pPr>
        <w:bidi/>
        <w:spacing w:after="200" w:line="360"/>
        <w:jc w:val="both"/>
      </w:pPr>
      <w:r>
        <w:rPr>
          <w:rFonts w:ascii="Traditional Arabic" w:cs="Traditional Arabic" w:eastAsia="Traditional Arabic" w:hAnsi="Traditional Arabic"/>
          <w:sz w:val="32"/>
          <w:szCs w:val="32"/>
          <w:rtl/>
        </w:rPr>
        <w:t xml:space="preserve">بسم الله الرحمن الرحيم، الحمد لله رب العالمين، وصلى الله وسلم وبارك على عبده ورسوله نبينا وإمامنا وقدوتنا محمد بن عبد الله، وعلى آله وصحبه ومن سلك سبيله واهتدى بهديه إلى يوم الدين.</w:t>
      </w:r>
    </w:p>
    <w:p>
      <w:pPr>
        <w:bidi/>
        <w:spacing w:after="200" w:line="360"/>
        <w:jc w:val="both"/>
      </w:pPr>
      <w:r>
        <w:rPr>
          <w:rFonts w:ascii="Traditional Arabic" w:cs="Traditional Arabic" w:eastAsia="Traditional Arabic" w:hAnsi="Traditional Arabic"/>
          <w:sz w:val="32"/>
          <w:szCs w:val="32"/>
          <w:rtl/>
        </w:rPr>
        <w:t xml:space="preserve">اللهم علّمنا ما ينفعنا، وانفعنا بما علّمتنا، واجعل ما علّمتنا حجة لنا لا حجة علينا. اللهم نوّر بصائرنا بنور العلم والإيمان، واجعلنا اللهم هداة مهتدين، غير ضالين ولا مضلين.</w:t>
      </w:r>
    </w:p>
    <w:p>
      <w:pPr>
        <w:bidi/>
        <w:spacing w:after="200" w:line="360"/>
        <w:jc w:val="both"/>
      </w:pPr>
      <w:r>
        <w:rPr>
          <w:rFonts w:ascii="Traditional Arabic" w:cs="Traditional Arabic" w:eastAsia="Traditional Arabic" w:hAnsi="Traditional Arabic"/>
          <w:sz w:val="32"/>
          <w:szCs w:val="32"/>
          <w:rtl/>
        </w:rPr>
        <w:t xml:space="preserve">حيّاكم الله أيها الإخوة والأخوات المستمعون في كل مكان، في برنامجكم «القواعد الفقهية».</w:t>
      </w:r>
    </w:p>
    <w:p>
      <w:pPr>
        <w:bidi/>
        <w:spacing w:after="200" w:line="360"/>
        <w:jc w:val="both"/>
      </w:pPr>
      <w:r>
        <w:rPr>
          <w:rFonts w:ascii="Traditional Arabic" w:cs="Traditional Arabic" w:eastAsia="Traditional Arabic" w:hAnsi="Traditional Arabic"/>
          <w:sz w:val="32"/>
          <w:szCs w:val="32"/>
          <w:rtl/>
        </w:rPr>
        <w:t xml:space="preserve">ومن القواعد الفقهية التي سنتعرض لها في هذه الحلقة: قاعدة جليلة جميلة، هي من محاسن هذا الدين الإسلامي، وفيها سبق المسلمين لغيرهم في تحقيق العدل؛ في القضاء، والبيع والشراء، وفي الحياة العامة، وهي ما يعنون له الفقهاء بقولهم: «العدل واجب في كل شيء، والفضل مسنون»؛ بمعنى أنه يجب أداء العدل، أما ما كان مستحبًا – وهو الفضل – فهو مسنون في كل أمور الشرع.</w:t>
      </w:r>
    </w:p>
    <w:p>
      <w:pPr>
        <w:bidi/>
        <w:spacing w:after="200" w:line="360"/>
        <w:jc w:val="both"/>
      </w:pPr>
      <w:r>
        <w:rPr>
          <w:rFonts w:ascii="Traditional Arabic" w:cs="Traditional Arabic" w:eastAsia="Traditional Arabic" w:hAnsi="Traditional Arabic"/>
          <w:sz w:val="32"/>
          <w:szCs w:val="32"/>
          <w:rtl/>
        </w:rPr>
        <w:t xml:space="preserve">العدل في اللغة: هو خلاف الجور، وهو القصد في الأمور، أو الأمر المتوسط بين الإفراط والتفريط. و«الفضل مسنون»: الفضل هو الزيادة.</w:t>
      </w:r>
    </w:p>
    <w:p>
      <w:pPr>
        <w:bidi/>
        <w:spacing w:after="200" w:line="360"/>
        <w:jc w:val="both"/>
      </w:pPr>
      <w:r>
        <w:rPr>
          <w:rFonts w:ascii="Traditional Arabic" w:cs="Traditional Arabic" w:eastAsia="Traditional Arabic" w:hAnsi="Traditional Arabic"/>
          <w:sz w:val="32"/>
          <w:szCs w:val="32"/>
          <w:rtl/>
        </w:rPr>
        <w:t xml:space="preserve">هذه القاعدة تنقسم إلى قسمين: العدل، وهو واجب في كل شيء، والفضل – وهو الزيادة – مسنون.</w:t>
      </w:r>
    </w:p>
    <w:p>
      <w:pPr>
        <w:bidi/>
        <w:spacing w:after="200" w:line="360"/>
        <w:jc w:val="both"/>
      </w:pPr>
      <w:r>
        <w:rPr>
          <w:rFonts w:ascii="Traditional Arabic" w:cs="Traditional Arabic" w:eastAsia="Traditional Arabic" w:hAnsi="Traditional Arabic"/>
          <w:sz w:val="32"/>
          <w:szCs w:val="32"/>
          <w:rtl/>
        </w:rPr>
        <w:t xml:space="preserve">وبيان ذلك: أن العدل إن كان مع الله عز وجل ففعل أوامره واجتناب نواهيه، وهذا واجب على العباد أن يعدلوا في أقوالهم وأفعالهم مع ربهم؛ فيفعل ما أمر الله به، ويجتنب ما نهى الله عنه.</w:t>
      </w:r>
    </w:p>
    <w:p>
      <w:pPr>
        <w:bidi/>
        <w:spacing w:after="200" w:line="360"/>
        <w:jc w:val="both"/>
      </w:pPr>
      <w:r>
        <w:rPr>
          <w:rFonts w:ascii="Traditional Arabic" w:cs="Traditional Arabic" w:eastAsia="Traditional Arabic" w:hAnsi="Traditional Arabic"/>
          <w:sz w:val="32"/>
          <w:szCs w:val="32"/>
          <w:rtl/>
        </w:rPr>
        <w:t xml:space="preserve">والعدل مع المخلوق واجب أيضًا، وضابطه: أن تعطي ما عليك، وتأخذ ما لك؛ فقط تأخذ الشيء الذي لك، لا تزيد على ذلك، لا وكس ولا شطط. ففي البيع إذا كنت بائعًا تعطي السلعة كاملة، هذا هو كمال العدل. والعدل مع الشريك: أن لا يخون شريكه. والعدل في الوقف: أن توافق الشرع في وقفك، وأن لا تخالف شرط الواقف الذي لا يخالف الشرع. كذلك العدل بين الأولاد؛ يجب في الهبة المساواة بينهم، للذكر مثل حظ الأنثيين، كالميراث، أما في النفقة فلا تُشترط المساواة، بل يعطي كل واحد من أبنائه ما يحتاجه، وإن تفاضلوا في عطية النفقة.</w:t>
      </w:r>
    </w:p>
    <w:p>
      <w:pPr>
        <w:bidi/>
        <w:spacing w:after="200" w:line="360"/>
        <w:jc w:val="both"/>
      </w:pPr>
      <w:r>
        <w:rPr>
          <w:rFonts w:ascii="Traditional Arabic" w:cs="Traditional Arabic" w:eastAsia="Traditional Arabic" w:hAnsi="Traditional Arabic"/>
          <w:sz w:val="32"/>
          <w:szCs w:val="32"/>
          <w:rtl/>
        </w:rPr>
        <w:t xml:space="preserve">والعدل يدل عليه قول الله عز وجل: ﴿إِنَّ اللَّهَ يَأْمُرُ بِالْعَدْلِ وَالْإِحْسَانِ وَإِيتَاءِ ذِي الْقُرْبَى وَيَنْهَى عَنِ الْفَحْشَاءِ وَالْمُنْكَرِ وَالْبَغْيِ يَعِظُكُمْ لَعَلَّكُمْ تَذَكَّرُونَ﴾، وقوله سبحانه: ﴿وَإِنْ عَاقَبْتُمْ فَعَاقِبُوا بِمِثْلِ مَا عُوقِبْتُمْ بِهِ وَلَئِنْ صَبَرْتُمْ لَهُوَ خَيْرٌ لِلصَّابِرِينَ﴾.</w:t>
      </w:r>
    </w:p>
    <w:p>
      <w:pPr>
        <w:bidi/>
        <w:spacing w:after="200" w:line="360"/>
        <w:jc w:val="both"/>
      </w:pPr>
      <w:r>
        <w:rPr>
          <w:rFonts w:ascii="Traditional Arabic" w:cs="Traditional Arabic" w:eastAsia="Traditional Arabic" w:hAnsi="Traditional Arabic"/>
          <w:sz w:val="32"/>
          <w:szCs w:val="32"/>
          <w:rtl/>
        </w:rPr>
        <w:t xml:space="preserve">وأما الفضل فهو مسنون؛ زيادة، أي بخلاف الواجب. فإن تفضّل مع الله، وذلك بالازدياد من نوافل الطاعات، كالسنن الرواتب، والوتر، وقيام الليل، ونوافل الصيام، ونوافل الحج، والصدقات، وغير ذلك. مثل الوضوء؛ فإنه يجب أداء الوضوء، فيغسل كل عضو مرة شاملة لجميع العضو، لكن الفضل والزيادة مسنونة؛ فيُسن للمتوضئ أن يزيد غسلة ثانية وثالثة، فهذه سنة، لكن الواجب في الوضوء أن يغسل العضو مرة واحدة، غسلة شاملة، فالثانية والثالثة في غسل أعضاء الوضوء سنة ومستحب، أما الزيادة على الثلاثة فمن التعدّي في الوضوء، وهو محرّم، كما جاء في ذلك الحديث الصحيح: «فمن زاد على هذا فقد أساء وتعدّى وظلم».</w:t>
      </w:r>
    </w:p>
    <w:p>
      <w:pPr>
        <w:bidi/>
        <w:spacing w:after="200" w:line="360"/>
        <w:jc w:val="both"/>
      </w:pPr>
      <w:r>
        <w:rPr>
          <w:rFonts w:ascii="Traditional Arabic" w:cs="Traditional Arabic" w:eastAsia="Traditional Arabic" w:hAnsi="Traditional Arabic"/>
          <w:sz w:val="32"/>
          <w:szCs w:val="32"/>
          <w:rtl/>
        </w:rPr>
        <w:t xml:space="preserve">وهكذا في جميع الشريعة: العدل واجب في كل شيء، ومع كل أحد، في كل عبادات الشريعة؛ كذلك الزكاة، العدل فيها واجب، وهو أداء ما وجب على الإنسان أداؤه في الزكاة، وما زاد على ذلك كصدقة التطوع فمسنونة مرغّب فيها، وهكذا.</w:t>
      </w:r>
    </w:p>
    <w:p>
      <w:pPr>
        <w:bidi/>
        <w:spacing w:after="200" w:line="360"/>
        <w:jc w:val="both"/>
      </w:pPr>
      <w:r>
        <w:rPr>
          <w:rFonts w:ascii="Traditional Arabic" w:cs="Traditional Arabic" w:eastAsia="Traditional Arabic" w:hAnsi="Traditional Arabic"/>
          <w:sz w:val="32"/>
          <w:szCs w:val="32"/>
          <w:rtl/>
        </w:rPr>
        <w:t xml:space="preserve">وانظر إلى محاسن الإسلام في الدعوة إلى العدل في كل شيء؛ لذا قال شيخ الإسلام ابن تيمية رحمه الله تعالى: «العدل واجب لكل أحد، على كل أحد، في كل حال، والظلم محرّم مطلقًا، لا يُباح بحال؛ قال الله تعالى: ﴿وَلَا يَجْرِمَنَّكُمْ شَنَآنُ قَوْمٍ عَلَى أَلَّا تَعْدِلُوا اعْدِلُوا هُوَ أَقْرَبُ لِلتَّقْوَى﴾، وهذه الآية نزلت بسبب بغضهم للكفار، وهو بغض مأمور به، فإذا كان البغض الذي أمر الله به قد نهى صاحبه أن يظلم من أبغضه، فكيف بمن يبغض مسلمًا بتأويل وشبهة، أو بهوى نفس؟ فهو أحق أن لا يظلمه، بل يعدل عليه». انتهى كلامه رحمه الله.</w:t>
      </w:r>
    </w:p>
    <w:p>
      <w:pPr>
        <w:bidi/>
        <w:spacing w:after="200" w:line="360"/>
        <w:jc w:val="both"/>
      </w:pPr>
      <w:r>
        <w:rPr>
          <w:rFonts w:ascii="Traditional Arabic" w:cs="Traditional Arabic" w:eastAsia="Traditional Arabic" w:hAnsi="Traditional Arabic"/>
          <w:sz w:val="32"/>
          <w:szCs w:val="32"/>
          <w:rtl/>
        </w:rPr>
        <w:t xml:space="preserve">فالعدل من محاسن الإسلام، ومما جاء به الإسلام، وقامت عليه دولة الإسلام، بل قامت السماوات والأرض بالعدل.</w:t>
      </w:r>
    </w:p>
    <w:p>
      <w:pPr>
        <w:bidi/>
        <w:spacing w:after="200" w:line="360"/>
        <w:jc w:val="both"/>
      </w:pPr>
      <w:r>
        <w:rPr>
          <w:rFonts w:ascii="Traditional Arabic" w:cs="Traditional Arabic" w:eastAsia="Traditional Arabic" w:hAnsi="Traditional Arabic"/>
          <w:sz w:val="32"/>
          <w:szCs w:val="32"/>
          <w:rtl/>
        </w:rPr>
        <w:t xml:space="preserve">كذلك إذا اعتدى الإنسان على آخر بالسبّ والشتم، فردّ السيئة – ما لم يكن افتراءً – بمثلها عدل؛ لقوله تعالى: ﴿وَجَزَاءُ سَيِّئَةٍ سَيِّئَةٌ مِثْلُهَا﴾، وقوله تعالى: ﴿فَمَنِ اعْتَدَى عَلَيْكُمْ فَاعْتَدُوا عَلَيْهِ بِمِثْلِ مَا اعْتَدَى عَلَيْكُمْ﴾. فالإسلام راعى النفوس، فلم يدعها إلى الخنوع والخضوع، ولا التجرّد من صفات الإحساس الإنسانية، هذا ليس من الإسلام، وإن كان الأفضل والسنة والفضل العفو: ﴿فَمَنْ عَفَا وَأَصْلَحَ فَأَجْرُهُ عَلَى اللَّهِ﴾، لكن ليس هذا واجبًا على كل أحد، وليس كل النفوس تطيق العفو والصفح، لكن من اعتُدي عليه فقد أباحت له الشريعة الردّ بالمثل، فالعدل هو الردّ بالمثل.</w:t>
      </w:r>
    </w:p>
    <w:p>
      <w:pPr>
        <w:bidi/>
        <w:spacing w:after="200" w:line="360"/>
        <w:jc w:val="both"/>
      </w:pPr>
      <w:r>
        <w:rPr>
          <w:rFonts w:ascii="Traditional Arabic" w:cs="Traditional Arabic" w:eastAsia="Traditional Arabic" w:hAnsi="Traditional Arabic"/>
          <w:sz w:val="32"/>
          <w:szCs w:val="32"/>
          <w:rtl/>
        </w:rPr>
        <w:t xml:space="preserve">قال الفقهاء: مثال ذلك: لو قال إنسان لآخر: أخزاك الله، فردّ عليه بمثل ما قال له، قال له: بل أنت أخزاك الله، فهذا من العدل، وليس من الظلم، ولا يقال للذي ردّ السيئة بمثلها: إنه ظالم أو متعدٍّ، بل هذا من العدل. والمحرّم الزيادة؛ لو قال له: أخزاك الله، قال: بل أنت أخزاك الله، بل أنت أخزاك الله، فهذا محرم؛ لأنهما اثنتان مقابل واحدة. والفضل أن يعفو ويسامح، هذا مسنون، لكن لا نُجبر الناس على المسنون، ولا نحاسبهم على المسنون. فهذه هي المراتب: العدل واجب، والفضل والزيادة مسنونة، والظلم – وهو التعدّي – محرّم.</w:t>
      </w:r>
    </w:p>
    <w:p>
      <w:pPr>
        <w:bidi/>
        <w:spacing w:after="200" w:line="360"/>
        <w:jc w:val="both"/>
      </w:pPr>
      <w:r>
        <w:rPr>
          <w:rFonts w:ascii="Traditional Arabic" w:cs="Traditional Arabic" w:eastAsia="Traditional Arabic" w:hAnsi="Traditional Arabic"/>
          <w:sz w:val="32"/>
          <w:szCs w:val="32"/>
          <w:rtl/>
        </w:rPr>
        <w:t xml:space="preserve">أيضًا من الضوابط الفقهية المهمة التي ذكرها الفقهاء قولهم: «إذا تعذّر المسمّى رُجع إلى القيمة». الأصل أنه يجب المسمّى المتفق عليه، والمسمّى: هو ما سُمّي في العقد، واتفق عليه المتعاقدان، من ثمن، أو أجرة، أو صداق، ونحو ذلك؛ هذا هو المسمّى، ما سمّوه واتفقوا على تسميته في العقد من الثمن. والقيمة: هي ما يساوي هذا الشيء في حقيقته عند أهل الخبرة والمعرفة. هذا هو المسمّى والقيمة؛ المسمّى ما سمّوه واتفقوا عليه، والقيمة هي القيمة الحقيقية لهذا الشيء.</w:t>
      </w:r>
    </w:p>
    <w:p>
      <w:pPr>
        <w:bidi/>
        <w:spacing w:after="200" w:line="360"/>
        <w:jc w:val="both"/>
      </w:pPr>
      <w:r>
        <w:rPr>
          <w:rFonts w:ascii="Traditional Arabic" w:cs="Traditional Arabic" w:eastAsia="Traditional Arabic" w:hAnsi="Traditional Arabic"/>
          <w:sz w:val="32"/>
          <w:szCs w:val="32"/>
          <w:rtl/>
        </w:rPr>
        <w:t xml:space="preserve">والأصل أنه يجب المسمّى؛ فإذا تبايع رجلان مثلًا بيتًا بمئة ألف دينار، أو تبايعا السيارة بعشرة آلاف دينار، وما أشبه ذلك، فالأصل أن ما سُمّي في العقد يجب، أو لا يجب؟ قلنا: يجب المسمّى، لا بد مما سُمّي في العقد؛ لأنه يجب الوفاء بالعقد وبالشروط، ومن أعظمها الثمن المسمّى. لكن إذا تعذّر المسمّى – لسبب من الأسباب، لفساد التسمية، أو لفساد العقد – فلا نفسخ العقد، نحاول أن نصحّح العقد؛ لأن الأصل تصحيح العقود، قالوا: يُرجع إلى القيمة. مثال ذلك: عقد على كتاب مثلًا بعشرة دنانير، وهو عند أهل الخبرة يساوي تسعة دنانير؛ فالتسعة تسمى قيمته الحقيقية، والعشرة دنانير تسمى الثمن المسمّى.</w:t>
      </w:r>
    </w:p>
    <w:p>
      <w:pPr>
        <w:bidi/>
        <w:spacing w:after="200" w:line="360"/>
        <w:jc w:val="both"/>
      </w:pPr>
      <w:r>
        <w:rPr>
          <w:rFonts w:ascii="Traditional Arabic" w:cs="Traditional Arabic" w:eastAsia="Traditional Arabic" w:hAnsi="Traditional Arabic"/>
          <w:sz w:val="32"/>
          <w:szCs w:val="32"/>
          <w:rtl/>
        </w:rPr>
        <w:t xml:space="preserve">ومثله في النكاح: لو اتفقا على المهر، ثم تعذّر المسمّى في هذا العقد، فنرجع إلى القيمة، وهو مهر المثل. ودليل ذلك حديث عبد الله بن مسعود لما تزوج رجل امرأة فمات عنها، ولم يدخل بها، ولم يفرض لها الصداق – عقد عليها ولم يذكر المهر – فقال ابن مسعود: لها صداق مثلها كاملًا، وعليها العدة، ولها الميراث. فقال معقل بن سنان: سمعت رسول الله صلى الله عليه وسلم قضى به في بِرْوَع بنت واشق. أخرجه الإمام أحمد وغيره. فلما لم يكن هناك مسمّى رجع ابن مسعود إلى القيمة.</w:t>
      </w:r>
    </w:p>
    <w:p>
      <w:pPr>
        <w:bidi/>
        <w:spacing w:after="200" w:line="360"/>
        <w:jc w:val="both"/>
      </w:pPr>
      <w:r>
        <w:rPr>
          <w:rFonts w:ascii="Traditional Arabic" w:cs="Traditional Arabic" w:eastAsia="Traditional Arabic" w:hAnsi="Traditional Arabic"/>
          <w:sz w:val="32"/>
          <w:szCs w:val="32"/>
          <w:rtl/>
        </w:rPr>
        <w:t xml:space="preserve">ومسألة تعذّر المسمّى لها صور:</w:t>
      </w:r>
    </w:p>
    <w:p>
      <w:pPr>
        <w:bidi/>
        <w:spacing w:after="200" w:line="360"/>
        <w:jc w:val="both"/>
      </w:pPr>
      <w:r>
        <w:rPr>
          <w:rFonts w:ascii="Traditional Arabic" w:cs="Traditional Arabic" w:eastAsia="Traditional Arabic" w:hAnsi="Traditional Arabic"/>
          <w:sz w:val="32"/>
          <w:szCs w:val="32"/>
          <w:rtl/>
        </w:rPr>
        <w:t xml:space="preserve">الصورة الأولى: إذا باعوا السيارة ولم يسمّوا شيئًا؛ الأصل – نقول – أن تكون العقود على الوضوح وعلى البيان، لكن لو فرضنا أن إنسانًا باع السيارة ولم يسمّ شيئًا، قال: بعتك، وهذه السيارة عندك، فهنا البيع صحيح، لكن نرجع إلى قيمة المثل: كم تساوي قيمة مثل هذه السيارة في السوق؟ قال: يجب لي كذا، قيمة مثلها في السوق عشرة آلاف، نقول: ليس لك إلا عشرة آلاف. قال: أريد خمسة عشر، نقول: ليس لك إلا القيمة الموجودة في السوق لمثيلاتها. فهذه القاعدة تحلّ إشكالات كثيرة، ولها صور متعددة.</w:t>
      </w:r>
    </w:p>
    <w:p>
      <w:pPr>
        <w:bidi/>
        <w:spacing w:after="200" w:line="360"/>
        <w:jc w:val="both"/>
      </w:pPr>
      <w:r>
        <w:rPr>
          <w:rFonts w:ascii="Traditional Arabic" w:cs="Traditional Arabic" w:eastAsia="Traditional Arabic" w:hAnsi="Traditional Arabic"/>
          <w:sz w:val="32"/>
          <w:szCs w:val="32"/>
          <w:rtl/>
        </w:rPr>
        <w:t xml:space="preserve">مثلًا: باعه الكتاب، أو هذه الساعة، بشيء من الخمر، أو شيء من المؤثرات العقلية، نقول: هذه التسمية باطلة، وجودها كعدمها. ومن العلماء من يصحّح العقد، ومنهم من يبطل العقد الباطل ويفسخ العقد. لكن من صحّحه قال: نتمّ العقد على ما هو عليه، خاصة إذا استعمل هذه السيارة، أو باعها لآخر، وانتقلت الأيدي عليها، فهنا ليس لنا إلا أن نصحّح العقد، ونرجع إلى قيمة المثل؛ لأن ما سُمّي في العقد محرّم.</w:t>
      </w:r>
    </w:p>
    <w:p>
      <w:pPr>
        <w:bidi/>
        <w:spacing w:after="200" w:line="360"/>
        <w:jc w:val="both"/>
      </w:pPr>
      <w:r>
        <w:rPr>
          <w:rFonts w:ascii="Traditional Arabic" w:cs="Traditional Arabic" w:eastAsia="Traditional Arabic" w:hAnsi="Traditional Arabic"/>
          <w:sz w:val="32"/>
          <w:szCs w:val="32"/>
          <w:rtl/>
        </w:rPr>
        <w:t xml:space="preserve">كذلك إذا أخذ إنسان مثلًا السلعة على سوم الشراء، لكي يشاور أهله في ذلك، ولما أخذ السلعة وذهب إلى أهله ورأوها، تلفت هذه السلعة لتفريط منه، ولكنهم لم يتفقوا على الثمن، فأردنا أن نرجع إلى ثمنها: كم تساوي في السوق؟ فهنا ليس لصاحبها إلا ثمن مثلها في السوق.</w:t>
      </w:r>
    </w:p>
    <w:p>
      <w:pPr>
        <w:bidi/>
        <w:spacing w:after="200" w:line="360"/>
        <w:jc w:val="both"/>
      </w:pPr>
      <w:r>
        <w:rPr>
          <w:rFonts w:ascii="Traditional Arabic" w:cs="Traditional Arabic" w:eastAsia="Traditional Arabic" w:hAnsi="Traditional Arabic"/>
          <w:sz w:val="32"/>
          <w:szCs w:val="32"/>
          <w:rtl/>
        </w:rPr>
        <w:t xml:space="preserve">ومثله أيضًا المغصوب؛ فلو أن الإنسان اغتصب من إنسان سيارة، أو شاة، أو أواني، فتلفت، أو تصرّف فيها بالبيع – على القول بتصحيح تصرفات الغاصب – خاصة إذا لم نستطع أن نردّ المغصوب على وجهه، أو تعذّر ذلك، أو كان ذلك فيه مشقة بالغة؛ كأن سرق الأموال، ثم انتقلت هذه الأموال من بلاد إلى بلاد، ولا يمكن تصحيح هذا. المهم لو أن الإنسان اغتصب من إنسان شيئًا، وتلفت هذه المغصوبات، أو تصرّف فيها بالبيع؛ باعها في سوق، وصاحب السوق باعها لآخر، حتى لا نستطيع إرجاع المغصوب، فأردنا أن نُرجع هذا المغصوب إلى صاحبه، والمغصوب كما قلنا قد تلف، فما الواجب على الغاصب؟ نقول: إن كان مثليًّا أرجعنا مثله، وإن لم يكن له مثل فإننا نرجع إلى القيمة.</w:t>
      </w:r>
    </w:p>
    <w:p>
      <w:pPr>
        <w:bidi/>
        <w:spacing w:after="200" w:line="360"/>
        <w:jc w:val="both"/>
      </w:pPr>
      <w:r>
        <w:rPr>
          <w:rFonts w:ascii="Traditional Arabic" w:cs="Traditional Arabic" w:eastAsia="Traditional Arabic" w:hAnsi="Traditional Arabic"/>
          <w:sz w:val="32"/>
          <w:szCs w:val="32"/>
          <w:rtl/>
        </w:rPr>
        <w:t xml:space="preserve">وهناك خلاف في تقدير قيمته، لكن على قول كثير من أهل العلم: أن القيمة تكون بالغة ما بلغت؛ فإذا غصب عرضًا، وحكم عليه القاضي بتسليم الثمن، قال كثير من أهل العلم: إنه يسلّم أعلى ما بلغت قيمته؛ لأن الغاصب لا يُعامل بالتسامح، بل يُعامل بالأشد؛ لأنه متعدٍّ، والمتعدي ظالم، والظالم لا يستحق المسامحة.</w:t>
      </w:r>
    </w:p>
    <w:p>
      <w:pPr>
        <w:bidi/>
        <w:spacing w:after="200" w:line="360"/>
        <w:jc w:val="both"/>
      </w:pPr>
      <w:r>
        <w:rPr>
          <w:rFonts w:ascii="Traditional Arabic" w:cs="Traditional Arabic" w:eastAsia="Traditional Arabic" w:hAnsi="Traditional Arabic"/>
          <w:sz w:val="32"/>
          <w:szCs w:val="32"/>
          <w:rtl/>
        </w:rPr>
        <w:t xml:space="preserve">نكتفي بهذا القدر، والله أعلم، وصلى الله وسلم على نبينا محمد.</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aditional Arabic" w:cs="Traditional Arabic" w:eastAsia="Traditional Arabic" w:hAnsi="Traditional Arabic"/>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2026-10-15T09:49:40.378Z</dcterms:created>
  <dcterms:modified xsi:type="dcterms:W3CDTF">2026-10-15T09:49:40.378Z</dcterms:modified>
</cp:coreProperties>
</file>

<file path=docProps/custom.xml><?xml version="1.0" encoding="utf-8"?>
<Properties xmlns="http://schemas.openxmlformats.org/officeDocument/2006/custom-properties" xmlns:vt="http://schemas.openxmlformats.org/officeDocument/2006/docPropsVTypes"/>
</file>