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19</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في برنامجكم «القواعد الفقهية».</w:t>
      </w:r>
    </w:p>
    <w:p>
      <w:pPr>
        <w:bidi/>
        <w:spacing w:after="200" w:line="360"/>
        <w:jc w:val="both"/>
      </w:pPr>
      <w:r>
        <w:rPr>
          <w:rFonts w:ascii="Traditional Arabic" w:cs="Traditional Arabic" w:eastAsia="Traditional Arabic" w:hAnsi="Traditional Arabic"/>
          <w:sz w:val="32"/>
          <w:szCs w:val="32"/>
          <w:rtl/>
        </w:rPr>
        <w:t xml:space="preserve">ومن القواعد الفقهية المهمة ما عنون له الفقهاء بقولهم: «الأصل أن النفي في الشيء محمول على نفي الوجود إن أمكن، وإلا فنفي الصحة، وإلا فنفي الكمال». هذه القاعدة قاعدة مفيدة جدًا؛ فإن بها يعرف المتعلم والطالب ما يكون النفي فيه متوجهًا إلى وجوده حقيقةً، أو إلى صحته، أو إلى نفي كماله.</w:t>
      </w:r>
    </w:p>
    <w:p>
      <w:pPr>
        <w:bidi/>
        <w:spacing w:after="200" w:line="360"/>
        <w:jc w:val="both"/>
      </w:pPr>
      <w:r>
        <w:rPr>
          <w:rFonts w:ascii="Traditional Arabic" w:cs="Traditional Arabic" w:eastAsia="Traditional Arabic" w:hAnsi="Traditional Arabic"/>
          <w:sz w:val="32"/>
          <w:szCs w:val="32"/>
          <w:rtl/>
        </w:rPr>
        <w:t xml:space="preserve">وذلك أن نقول: إنه إذا ورد في الأدلة الشيء تقدّمته «لا» النافية، فإن عندنا في حكم هذا النفي ثلاث مراتب على الترتيب، بحيث لا ننتقل إلى المرتبة الأخرى إلا إذا لم يمكن حمل النفي على الأولى؛ أما إذا كان بالإمكان أن نحمل النفي على المرتبة الأولى، ولا يلزم منه مانع، فإنه يجب حمله عليها، ولا يُعدل عن هذه المرتبة لغيرها إلا لسبب واضح.</w:t>
      </w:r>
    </w:p>
    <w:p>
      <w:pPr>
        <w:bidi/>
        <w:spacing w:after="200" w:line="360"/>
        <w:jc w:val="both"/>
      </w:pPr>
      <w:r>
        <w:rPr>
          <w:rFonts w:ascii="Traditional Arabic" w:cs="Traditional Arabic" w:eastAsia="Traditional Arabic" w:hAnsi="Traditional Arabic"/>
          <w:sz w:val="32"/>
          <w:szCs w:val="32"/>
          <w:rtl/>
        </w:rPr>
        <w:t xml:space="preserve">فأول هذه المراتب في النفي في الشريعة: أننا نحمل النفي على نفي الحقيقة، أي نفي وجوده إذا أمكن؛ أي نقول: إن هذا الشيء المنفي ليس بموجود أصلًا؛ لأن هذا هو حقيقة النفي، والأصل حمل الكلام على الحقيقة المتبادرة للذهن، فإن كان حمله على نفي الوجود ممكنًا فالقول به هو المتعيّن. وذلك كقولنا: «لا خالق إلا الله»؛ فالمنفي بـ«لا» النافية هو كلمة «خالق»، والأصل أننا نحمله على نفي الوجود، فنقول: إن المنفي هنا هو وجود خالق غير الله؛ أي لا يوجد في الكون العلوي والسفلي أحد يخلق شيئًا إلا الله تعالى، فهو الخالق لكل شيء. هذا هو الذي ندين الله عز وجل به، خلافًا لمن يقول: إن العبد مثلًا يخلق فعله، بل الله عز وجل خالق كل شيء، وهو الواحد القهار. والمراد أنه إن أمكن حمل النفي على نفي الوجود أصلًا قلنا به، ولا نتعدّاه إلى غيره.</w:t>
      </w:r>
    </w:p>
    <w:p>
      <w:pPr>
        <w:bidi/>
        <w:spacing w:after="200" w:line="360"/>
        <w:jc w:val="both"/>
      </w:pPr>
      <w:r>
        <w:rPr>
          <w:rFonts w:ascii="Traditional Arabic" w:cs="Traditional Arabic" w:eastAsia="Traditional Arabic" w:hAnsi="Traditional Arabic"/>
          <w:sz w:val="32"/>
          <w:szCs w:val="32"/>
          <w:rtl/>
        </w:rPr>
        <w:t xml:space="preserve">لكن إذا لم يمكن في هذه الجملة حمل النفي على نفي الوجود، فإننا حينئذ ننتقل إلى المرتبة الثانية، وهو أنه موجود، ولكن ننفي صحته؛ أي أن الفعل المنفي قد يتحقق وجوده، لكن تتخلّف صحته؛ ذلك لأن الشيء إذا أمكن وجوده فإنه لا يمكن حمل النفي على نفي وجوده، فننتقل إلى المرتبة التي تليها وهي نفي الصحة، فنقول: هذا النفي يعود إلى نفي صحة الفعل؛ فإن الفعل المنفي في الشرع وإن كان موجودًا ظاهرًا، لكنه يقع باطلًا؛ لا تبرأ به الذمة إن كان عبادة، ولا يترتب عليه أثره إن كان معاملة. ولا يجوز لنا أن نقول بالمرتبة الثالثة مع إمكان حمل النفي على المرتبة الثانية.</w:t>
      </w:r>
    </w:p>
    <w:p>
      <w:pPr>
        <w:bidi/>
        <w:spacing w:after="200" w:line="360"/>
        <w:jc w:val="both"/>
      </w:pPr>
      <w:r>
        <w:rPr>
          <w:rFonts w:ascii="Traditional Arabic" w:cs="Traditional Arabic" w:eastAsia="Traditional Arabic" w:hAnsi="Traditional Arabic"/>
          <w:sz w:val="32"/>
          <w:szCs w:val="32"/>
          <w:rtl/>
        </w:rPr>
        <w:t xml:space="preserve">هذا هو خلاصة هذه القاعدة، ولكن ما هي الفروع المترتبة على هذه القاعدة؟</w:t>
      </w:r>
    </w:p>
    <w:p>
      <w:pPr>
        <w:bidi/>
        <w:spacing w:after="200" w:line="360"/>
        <w:jc w:val="both"/>
      </w:pPr>
      <w:r>
        <w:rPr>
          <w:rFonts w:ascii="Traditional Arabic" w:cs="Traditional Arabic" w:eastAsia="Traditional Arabic" w:hAnsi="Traditional Arabic"/>
          <w:sz w:val="32"/>
          <w:szCs w:val="32"/>
          <w:rtl/>
        </w:rPr>
        <w:t xml:space="preserve">نقول في الحقيقة: إن النفي جاء في الشريعة في نصوص كثيرة؛ ولذلك لهذه القاعدة فروع كثيرة، منها:</w:t>
      </w:r>
    </w:p>
    <w:p>
      <w:pPr>
        <w:bidi/>
        <w:spacing w:after="200" w:line="360"/>
        <w:jc w:val="both"/>
      </w:pPr>
      <w:r>
        <w:rPr>
          <w:rFonts w:ascii="Traditional Arabic" w:cs="Traditional Arabic" w:eastAsia="Traditional Arabic" w:hAnsi="Traditional Arabic"/>
          <w:sz w:val="32"/>
          <w:szCs w:val="32"/>
          <w:rtl/>
        </w:rPr>
        <w:t xml:space="preserve">قوله عليه الصلاة والسلام: «لا صلاة إلا بطهور»؛ فنقول: «لا» حرف نفي، وقوله عليه الصلاة والسلام: «لا صلاة»: عبادة منفية بـ«لا»، فنُجري عليها المرتبة الأولى وهي نفي الوجود، فنظرنا فوجدنا أن الصلاة بلا طهور قد توجد؛ قد يصلي الإنسان بلا طهارة، فإذًا حمله على نفي الوجود لا يمكن عقلًا؛ نعم يوجد من يصلي بلا طهارة، فلا يكون قوله عليه الصلاة والسلام: «لا صلاة إلا بطهور» يعني: لا توجد صلاة بلا طهور، فنقول: لا، يأباه العقل؛ لأنه توجد صلاة بلا طهور. فإذا حمله على نفي الوجود لا يمكن، فننتقل إلى المرتبة الثانية وهي نفي الصحة، والحمل عليها لا مانع منه؛ لذا يجب القول به، فكأنه عليه الصلاة والسلام قال: لا تصح الصلاة بلا طهور. ويؤيد ذلك قوله عليه الصلاة والسلام: «لا يقبل الله صلاة أحدكم إذا أحدث حتى يتوضأ»، متفق عليه. فهذا النفي نحمله على نفي صحة هذه العبادة، والحامل على ذلك الدليل والعقل.</w:t>
      </w:r>
    </w:p>
    <w:p>
      <w:pPr>
        <w:bidi/>
        <w:spacing w:after="200" w:line="360"/>
        <w:jc w:val="both"/>
      </w:pPr>
      <w:r>
        <w:rPr>
          <w:rFonts w:ascii="Traditional Arabic" w:cs="Traditional Arabic" w:eastAsia="Traditional Arabic" w:hAnsi="Traditional Arabic"/>
          <w:sz w:val="32"/>
          <w:szCs w:val="32"/>
          <w:rtl/>
        </w:rPr>
        <w:t xml:space="preserve">وكذلك قوله عليه الصلاة والسلام: «لا نكاح إلا بولي»؛ فـ«لا» نافية للجنس، فقوله: «نكاح» المراد به إبرام عقد الزوجية، وهو منفي بـ«لا»، فالأصل أنه ينفي حقيقة وجوده، لكن هذا غير مراد؛ لعدم إمكان الحمل عليه؛ لأنه قد يوجد نكاح بلا ولي، فلا يمكن أن نحمل الأمر على نفي الوجود؛ لأن المرأة قد تُنكح نفسها بغير إذن وليها، فالنكاح بلا ولي قد يوجد. إذًا لا يمكن حمل النفي على نفي الوجود، فننتقل إلى المرتبة الثانية وهي نفي الصحة؛ أي لا نكاح يقع صحيحًا إلا بولي، فالولي شرط من شروط صحة النكاح، ولا نتعدّى هذه المرتبة إلى التي بعدها وهي نفي الكمال؛ لأن الأصل موجود فلا ننتقل إلى بدله؛ فالمنفي هو الصحة. وبه نعرف خطأ من يقول: إنه يجوز للمرأة الحرة أن تُنكح نفسها، وهو خطأ مخالف للدليل وللنظر الصحيح. ولذلك جاء في حديث أبي هريرة رضي الله عنه أن النبي عليه الصلاة والسلام قال: «لا تزوّج المرأةُ المرأةَ، ولا تزوّج المرأةُ نفسها»، رواه ابن ماجه والدارقطني وغيرهم. وعلى كل حال فمذهب جمهور أهل العلم هو أن المنفي هو صحة هذا العقد؛ فـ«لا نكاح إلا بولي» المقصود منه عند جمهور أهل العلم: لا نكاح صحيح إلا بولي.</w:t>
      </w:r>
    </w:p>
    <w:p>
      <w:pPr>
        <w:bidi/>
        <w:spacing w:after="200" w:line="360"/>
        <w:jc w:val="both"/>
      </w:pPr>
      <w:r>
        <w:rPr>
          <w:rFonts w:ascii="Traditional Arabic" w:cs="Traditional Arabic" w:eastAsia="Traditional Arabic" w:hAnsi="Traditional Arabic"/>
          <w:sz w:val="32"/>
          <w:szCs w:val="32"/>
          <w:rtl/>
        </w:rPr>
        <w:t xml:space="preserve">كذلك من فروع هذه القاعدة – وهي أن النفي في الشريعة يُحمل على نفي الوجود، ثم على نفي الصحة، ثم على نفي الكمال – قوله عليه الصلاة والسلام: «لا صيام لمن لم يفرضه من الليل»، وفي رواية: «من لم يبيّت الصيام من الليل فلا صيام له». فالصيام هنا فعل منفي بـ«لا» النافية، فتُجرى عليه المراتب الثلاث، فنبدأ بالمرتبة الأولى، وهي مرتبة نفي الوجود: هل لا يوجد صيام إلا لمن بيّت النية؟ فإذا نظرنا قلنا: إنه قد يوجد في الواقع من يصوم دون أن يبيّت النية من الليل؛ لذلك نفي الوجود الحمل عليه متعذّر؛ لأنه قد يقع في الوجود صيام بلا نية من الليل. فلما تعذّرت هذه المرتبة انتقلنا إلى نفي الصحة، فإذا الحمل عليها لا يلزم منه مانع، فحملناه عليها، فنقول: المنفي هنا هو صحة صيام من لم يبيّت النية من الليل فلا صيام له. وهذا في الفرض، وفي صيام الكفارة، وفي صيام النذر؛ لأنه يأخذ حكم الفرض. وأما النفل فقد دلّ الدليل على جواز إنشاء النية من النهار، بشرط أن لا يأتي بمفطر؛ يعني لو أراد الإنسان أن يصوم من وسط النهار، وهو لم يأتِ بمفطر، بصيام النفل، فلا بأس، كما جاء في حديث عائشة عند الإمام مسلم.</w:t>
      </w:r>
    </w:p>
    <w:p>
      <w:pPr>
        <w:bidi/>
        <w:spacing w:after="200" w:line="360"/>
        <w:jc w:val="both"/>
      </w:pPr>
      <w:r>
        <w:rPr>
          <w:rFonts w:ascii="Traditional Arabic" w:cs="Traditional Arabic" w:eastAsia="Traditional Arabic" w:hAnsi="Traditional Arabic"/>
          <w:sz w:val="32"/>
          <w:szCs w:val="32"/>
          <w:rtl/>
        </w:rPr>
        <w:t xml:space="preserve">كذلك من فروع هذه القاعدة – من النفي الذي جاءت به الشريعة، والذي تنطبق عليه هذه القاعدة؛ أن النفي أولًا يكون للوجود، ثم إذا تعذّر الحمل على الوجود يكون النفي للصحة، ثم إذا تعذّر الحمل على الصحة يكون النفي للكمال – قوله عليه الصلاة والسلام: «لا صلاة بحضرة طعام، ولا هو يدافعه الأخبثان»، رواه مسلم من حديث عائشة. فهنا قال عليه الصلاة والسلام: «لا صلاة»، فالصلاة هنا فعل منفي، والأصل أن يُحمل النفي على الوجود، ولكن حمله عليه هنا متعذّر؛ لأنه قد يصلي الإنسان بحضرة الطعام، فننتقل إلى المرتبة الثانية وهي نفي الصحة، فنظرنا فإذا الأمر لا يمكن؛ لأنه قد أجمع العلماء – إلا من شذّ – على أن الصلاة بحضرة الطعام صحيحة، وكذلك مع مدافعة الأخبثين، فالحمل على عدم الصحة أيضًا متعذّر؛ لأنها صلاة تامة بأركانها وواجباتها وشروطها. فننتقل إلى المرتبة الثالثة وهي نفي الكمال؛ أي: لا صلاة كاملة وتامة بحضرة طعام، ولا هو يدافعه الأخبثان، أي البول والغائط.</w:t>
      </w:r>
    </w:p>
    <w:p>
      <w:pPr>
        <w:bidi/>
        <w:spacing w:after="200" w:line="360"/>
        <w:jc w:val="both"/>
      </w:pPr>
      <w:r>
        <w:rPr>
          <w:rFonts w:ascii="Traditional Arabic" w:cs="Traditional Arabic" w:eastAsia="Traditional Arabic" w:hAnsi="Traditional Arabic"/>
          <w:sz w:val="32"/>
          <w:szCs w:val="32"/>
          <w:rtl/>
        </w:rPr>
        <w:t xml:space="preserve">وكذلك جاء في الحديث – الذي حسّنه جمع من أهل العلم بمجموع طرقه – وهو قوله عليه الصلاة والسلام: «لا وضوء لمن لم يذكر اسم الله عليه»؛ فالوضوء فعل منفي بـ«لا» هنا، فإذا أردنا أن نحمل النفي على نفي الوجود لوجدنا أن الحمل متعذّر؛ لأنه قد يوجد الوضوء بلا تسمية. فإذا تعذّر ذلك ننتقل إلى المرتبة الثانية، فنحمل النفي على نفي الصحة، وهنا اختلفت كلمة العلماء اختلافًا كبيرًا: هل يصح الوضوء بلا تسمية، أو لا يصح كما هو مذهب الإمام أحمد وأصحابه؟</w:t>
      </w:r>
    </w:p>
    <w:p>
      <w:pPr>
        <w:bidi/>
        <w:spacing w:after="200" w:line="360"/>
        <w:jc w:val="both"/>
      </w:pPr>
      <w:r>
        <w:rPr>
          <w:rFonts w:ascii="Traditional Arabic" w:cs="Traditional Arabic" w:eastAsia="Traditional Arabic" w:hAnsi="Traditional Arabic"/>
          <w:sz w:val="32"/>
          <w:szCs w:val="32"/>
          <w:rtl/>
        </w:rPr>
        <w:t xml:space="preserve">والصحيح أن نفي الصحة أيضًا متعذّر؛ لأنه مصروف عن حقيقته إلى الندب؛ لأن كل من وصف وضوءه عليه الصلاة والسلام، ونقله إلى الأمة، لم يذكر أنه كان يبدأ بالبسملة؛ كأبي هريرة، وكذلك عثمان لما توضأ لم يذكر الراوي أنه بدأ بالتسمية، وكذلك علي رضي الله عنه في صفة وضوء النبي عليه الصلاة والسلام، كذلك عبد الله بن زيد، والربيّع بنت معوّذ، وغيرهم؛ لم يُنقل عن أحد منهم أنه قال ذلك، مع أنهم كانوا في مقام التعليم، فدلّ ذلك على أنهم لم يحفظوها عن النبي صلى الله عليه وسلم.</w:t>
      </w:r>
    </w:p>
    <w:p>
      <w:pPr>
        <w:bidi/>
        <w:spacing w:after="200" w:line="360"/>
        <w:jc w:val="both"/>
      </w:pPr>
      <w:r>
        <w:rPr>
          <w:rFonts w:ascii="Traditional Arabic" w:cs="Traditional Arabic" w:eastAsia="Traditional Arabic" w:hAnsi="Traditional Arabic"/>
          <w:sz w:val="32"/>
          <w:szCs w:val="32"/>
          <w:rtl/>
        </w:rPr>
        <w:t xml:space="preserve">ويؤيد ذلك قوله عليه الصلاة والسلام: «إنها لا تتم صلاة أحدكم حتى يسبغ الوضوء كما أمره الله تعالى»، أي في آية المائدة، وآية المائدة إذا رجعنا إليها لا نجد للبسملة فيها ذكرًا، لا تصريحًا ولا تضمّنًا، وغير ذلك من الأدلة.</w:t>
      </w:r>
    </w:p>
    <w:p>
      <w:pPr>
        <w:bidi/>
        <w:spacing w:after="200" w:line="360"/>
        <w:jc w:val="both"/>
      </w:pPr>
      <w:r>
        <w:rPr>
          <w:rFonts w:ascii="Traditional Arabic" w:cs="Traditional Arabic" w:eastAsia="Traditional Arabic" w:hAnsi="Traditional Arabic"/>
          <w:sz w:val="32"/>
          <w:szCs w:val="32"/>
          <w:rtl/>
        </w:rPr>
        <w:t xml:space="preserve">فالجمع بين قوله عليه الصلاة والسلام: «لا وضوء لمن لم يذكر اسم الله عليه» – إذا قلنا إنه حسن كما حسّنه جمع من أهل العلم – وبين هذه الأدلة، هو أن نقول: إن البسملة على الوضوء سنة، وهذا النفي نفي للكمال؛ فإذا ثبت أنه سنة فلا يكون النفي في قوله: «لا وضوء» منصبًّا على نفي الصحة، وإنما يكون لنفي الكمال؛ أي: لا وضوء كاملًا.</w:t>
      </w:r>
    </w:p>
    <w:p>
      <w:pPr>
        <w:bidi/>
        <w:spacing w:after="200" w:line="360"/>
        <w:jc w:val="both"/>
      </w:pPr>
      <w:r>
        <w:rPr>
          <w:rFonts w:ascii="Traditional Arabic" w:cs="Traditional Arabic" w:eastAsia="Traditional Arabic" w:hAnsi="Traditional Arabic"/>
          <w:sz w:val="32"/>
          <w:szCs w:val="32"/>
          <w:rtl/>
        </w:rPr>
        <w:t xml:space="preserve">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2026-10-15T09:49:40.730Z</dcterms:created>
  <dcterms:modified xsi:type="dcterms:W3CDTF">2026-10-15T09:49:40.731Z</dcterms:modified>
</cp:coreProperties>
</file>

<file path=docProps/custom.xml><?xml version="1.0" encoding="utf-8"?>
<Properties xmlns="http://schemas.openxmlformats.org/officeDocument/2006/custom-properties" xmlns:vt="http://schemas.openxmlformats.org/officeDocument/2006/docPropsVTypes"/>
</file>