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spacing w:after="300"/>
        <w:jc w:val="center"/>
      </w:pPr>
      <w:r>
        <w:rPr>
          <w:rFonts w:ascii="Traditional Arabic" w:cs="Traditional Arabic" w:eastAsia="Traditional Arabic" w:hAnsi="Traditional Arabic"/>
          <w:b/>
          <w:bCs/>
          <w:sz w:val="40"/>
          <w:szCs w:val="40"/>
          <w:rtl/>
        </w:rPr>
        <w:t xml:space="preserve">القواعد الفقهية – الحلقة 20</w:t>
      </w:r>
    </w:p>
    <w:p>
      <w:pPr>
        <w:bidi/>
        <w:spacing w:after="200" w:line="360"/>
        <w:jc w:val="both"/>
      </w:pPr>
      <w:r>
        <w:rPr>
          <w:rFonts w:ascii="Traditional Arabic" w:cs="Traditional Arabic" w:eastAsia="Traditional Arabic" w:hAnsi="Traditional Arabic"/>
          <w:sz w:val="32"/>
          <w:szCs w:val="32"/>
          <w:rtl/>
        </w:rPr>
        <w:t xml:space="preserve">بسم الله الرحمن الرحيم، الحمد لله رب العالمين، وصلى الله وسلم وبارك على عبده ورسوله نبينا وإمامنا وقدوتنا محمد بن عبد الله، وعلى آله وصحبه ومن سلك سبيله واهتدى بهديه إلى يوم الدين.</w:t>
      </w:r>
    </w:p>
    <w:p>
      <w:pPr>
        <w:bidi/>
        <w:spacing w:after="200" w:line="360"/>
        <w:jc w:val="both"/>
      </w:pPr>
      <w:r>
        <w:rPr>
          <w:rFonts w:ascii="Traditional Arabic" w:cs="Traditional Arabic" w:eastAsia="Traditional Arabic" w:hAnsi="Traditional Arabic"/>
          <w:sz w:val="32"/>
          <w:szCs w:val="32"/>
          <w:rtl/>
        </w:rPr>
        <w:t xml:space="preserve">اللهم علّمنا ما ينفعنا، وانفعنا بما علّمتنا، واجعل ما علّمتنا حجة لنا لا حجة علينا. اللهم نوّر بصائرنا بنور العلم والإيمان، واجعلنا اللهم هداة مهتدين، غير ضالين ولا مضلين.</w:t>
      </w:r>
    </w:p>
    <w:p>
      <w:pPr>
        <w:bidi/>
        <w:spacing w:after="200" w:line="360"/>
        <w:jc w:val="both"/>
      </w:pPr>
      <w:r>
        <w:rPr>
          <w:rFonts w:ascii="Traditional Arabic" w:cs="Traditional Arabic" w:eastAsia="Traditional Arabic" w:hAnsi="Traditional Arabic"/>
          <w:sz w:val="32"/>
          <w:szCs w:val="32"/>
          <w:rtl/>
        </w:rPr>
        <w:t xml:space="preserve">حيّاكم الله أيها الإخوة والأخوات المستمعون في كل مكان، في برنامجكم «القواعد الفقهية».</w:t>
      </w:r>
    </w:p>
    <w:p>
      <w:pPr>
        <w:bidi/>
        <w:spacing w:after="200" w:line="360"/>
        <w:jc w:val="both"/>
      </w:pPr>
      <w:r>
        <w:rPr>
          <w:rFonts w:ascii="Traditional Arabic" w:cs="Traditional Arabic" w:eastAsia="Traditional Arabic" w:hAnsi="Traditional Arabic"/>
          <w:sz w:val="32"/>
          <w:szCs w:val="32"/>
          <w:rtl/>
        </w:rPr>
        <w:t xml:space="preserve">ومن القواعد الفقهية المقرّرة في الشريعة والمهمة: «أنه لا يجوز تقديم العبادة على سبب وجوبها، ويجوز بعد السبب وقبل شرط الوجوب». هذه القاعدة أيضًا من القواعد المهمة في الوقت، لكن لتُفهم لا بد من معرفة: ما هو سبب العبادة؟ وما هو شرط وجوبها؟ وإليك بيان ذلك:</w:t>
      </w:r>
    </w:p>
    <w:p>
      <w:pPr>
        <w:bidi/>
        <w:spacing w:after="200" w:line="360"/>
        <w:jc w:val="both"/>
      </w:pPr>
      <w:r>
        <w:rPr>
          <w:rFonts w:ascii="Traditional Arabic" w:cs="Traditional Arabic" w:eastAsia="Traditional Arabic" w:hAnsi="Traditional Arabic"/>
          <w:sz w:val="32"/>
          <w:szCs w:val="32"/>
          <w:rtl/>
        </w:rPr>
        <w:t xml:space="preserve">اعلم – رحمك الله – أن الشروط نوعان: شروط وجوب، وشروط صحة.</w:t>
      </w:r>
    </w:p>
    <w:p>
      <w:pPr>
        <w:bidi/>
        <w:spacing w:after="200" w:line="360"/>
        <w:jc w:val="both"/>
      </w:pPr>
      <w:r>
        <w:rPr>
          <w:rFonts w:ascii="Traditional Arabic" w:cs="Traditional Arabic" w:eastAsia="Traditional Arabic" w:hAnsi="Traditional Arabic"/>
          <w:sz w:val="32"/>
          <w:szCs w:val="32"/>
          <w:rtl/>
        </w:rPr>
        <w:t xml:space="preserve">والمراد هنا شروط الوجوب؛ أي الشيء الذي لا يتم وجوب العبادة إلا به، كالحنث لوجوب الكفارة؛ فالكفارة في اليمين لا تجب على العبد إلا بعد الحنث، أي مخالفة مقتضى اليمين. وكذلك زهوق النفس لوجوب كفارة القتل؛ فكفارة القتل لا تجب على الإنسان، ولا تكون واجبة إلا بعد إزهاق النفس البريئة، وهكذا.</w:t>
      </w:r>
    </w:p>
    <w:p>
      <w:pPr>
        <w:bidi/>
        <w:spacing w:after="200" w:line="360"/>
        <w:jc w:val="both"/>
      </w:pPr>
      <w:r>
        <w:rPr>
          <w:rFonts w:ascii="Traditional Arabic" w:cs="Traditional Arabic" w:eastAsia="Traditional Arabic" w:hAnsi="Traditional Arabic"/>
          <w:sz w:val="32"/>
          <w:szCs w:val="32"/>
          <w:rtl/>
        </w:rPr>
        <w:t xml:space="preserve">فالشرط الذي تعنيه القاعدة هو ما لا يتم الوجوب إلا به، لا ما لا يتم الواجب إلا به؛ فإنه قد تقرّر في الأصول أن هناك فرقًا بين الوجوب والواجب؛ فشرط الوجوب هو الذي يخصّنا في هذه القاعدة، وأما شرط الواجب فهو ما لا يصح الفعل إلا به، كالطهارة للصلاة، والإسلام لصحة العبادة، لكن الفعل يجب بدونه؛ فالصلاة تجب ولو لم يتطهر الإنسان، والعبادات تجب على الكافر ولو لم يُسلم، لكن لا تصح الصلاة إلا بطهارة، ولا تصح العبادات إلا بالإسلام. وأما شرط الوجوب فهو الذي لا يتم وجوب العبادة أصلًا إلا به؛ إذا تخلّف فإنه يتخلّف الوجوب، وهذا واضح جدًا.</w:t>
      </w:r>
    </w:p>
    <w:p>
      <w:pPr>
        <w:bidi/>
        <w:spacing w:after="200" w:line="360"/>
        <w:jc w:val="both"/>
      </w:pPr>
      <w:r>
        <w:rPr>
          <w:rFonts w:ascii="Traditional Arabic" w:cs="Traditional Arabic" w:eastAsia="Traditional Arabic" w:hAnsi="Traditional Arabic"/>
          <w:sz w:val="32"/>
          <w:szCs w:val="32"/>
          <w:rtl/>
        </w:rPr>
        <w:t xml:space="preserve">وأما السبب الذي نعنيه هنا فهو الذي يتوقف عليه جواز الفعل لا وجوبه؛ أي إذا تحقّق فإنه يجوز الفعل، لكن لا يجوز قبل تحققه؛ كعقد اليمين، فهو سبب انعقاد الكفارة، والجرح المميت هو سبب انعقاد الدية، ودخول وقت الأولى من الصلاتين المجموعتين سبب لانعقاد الثانية منهما، وهكذا.</w:t>
      </w:r>
    </w:p>
    <w:p>
      <w:pPr>
        <w:bidi/>
        <w:spacing w:after="200" w:line="360"/>
        <w:jc w:val="both"/>
      </w:pPr>
      <w:r>
        <w:rPr>
          <w:rFonts w:ascii="Traditional Arabic" w:cs="Traditional Arabic" w:eastAsia="Traditional Arabic" w:hAnsi="Traditional Arabic"/>
          <w:sz w:val="32"/>
          <w:szCs w:val="32"/>
          <w:rtl/>
        </w:rPr>
        <w:t xml:space="preserve">فإذا علمت هذا فإن هذه القاعدة لا تدخل إلا في عبادة لها سبب وجوب وشرط وجوب، أما ما ليس له سبب وجوب وشرط وجوب فلا يدخل معنا، كصيام شهر رمضان مثلًا، وصلاة الفريضة التي ليست مجموعة إلى غيرها.</w:t>
      </w:r>
    </w:p>
    <w:p>
      <w:pPr>
        <w:bidi/>
        <w:spacing w:after="200" w:line="360"/>
        <w:jc w:val="both"/>
      </w:pPr>
      <w:r>
        <w:rPr>
          <w:rFonts w:ascii="Traditional Arabic" w:cs="Traditional Arabic" w:eastAsia="Traditional Arabic" w:hAnsi="Traditional Arabic"/>
          <w:sz w:val="32"/>
          <w:szCs w:val="32"/>
          <w:rtl/>
        </w:rPr>
        <w:t xml:space="preserve">وإذا علمت هذا فاعلم أن العبادة التي لها سبب وجوب وشرط وجوب تنقسم حالاتها إلى ثلاث: إما أن تُفعل العبادة قبل سبب الوجوب، وإما أن تُفعل العبادة بعد تحقق سبب الوجوب لكن قبل شرط الوجوب، وإما أن تُفعل بعد شرط الوجوب.</w:t>
      </w:r>
    </w:p>
    <w:p>
      <w:pPr>
        <w:bidi/>
        <w:spacing w:after="200" w:line="360"/>
        <w:jc w:val="both"/>
      </w:pPr>
      <w:r>
        <w:rPr>
          <w:rFonts w:ascii="Traditional Arabic" w:cs="Traditional Arabic" w:eastAsia="Traditional Arabic" w:hAnsi="Traditional Arabic"/>
          <w:sz w:val="32"/>
          <w:szCs w:val="32"/>
          <w:rtl/>
        </w:rPr>
        <w:t xml:space="preserve">فإذا فُعلت قبل سبب الوجوب فإنها لا تصح؛ لأن وقتها بعدُ لم يتحقق، كمن صلى الظهر قبل دخول الوقت. وكذلك من أخرج الكفارة قبل عقد اليمين، كفّر وقال: هذه عن يمين سأعقدها غدًا؛ فمن أخرج الكفارة قبل عقد اليمين فإنها تكون صدقة وليست كفارة.</w:t>
      </w:r>
    </w:p>
    <w:p>
      <w:pPr>
        <w:bidi/>
        <w:spacing w:after="200" w:line="360"/>
        <w:jc w:val="both"/>
      </w:pPr>
      <w:r>
        <w:rPr>
          <w:rFonts w:ascii="Traditional Arabic" w:cs="Traditional Arabic" w:eastAsia="Traditional Arabic" w:hAnsi="Traditional Arabic"/>
          <w:sz w:val="32"/>
          <w:szCs w:val="32"/>
          <w:rtl/>
        </w:rPr>
        <w:t xml:space="preserve">وأما إذا فُعلت الكفارة بعد سبب الوجوب وقبل شرط الوجوب، فإن هذا الفعل جائز، كمن أخرج الكفارة بعد عقد اليمين وقبل الحنث.</w:t>
      </w:r>
    </w:p>
    <w:p>
      <w:pPr>
        <w:bidi/>
        <w:spacing w:after="200" w:line="360"/>
        <w:jc w:val="both"/>
      </w:pPr>
      <w:r>
        <w:rPr>
          <w:rFonts w:ascii="Traditional Arabic" w:cs="Traditional Arabic" w:eastAsia="Traditional Arabic" w:hAnsi="Traditional Arabic"/>
          <w:sz w:val="32"/>
          <w:szCs w:val="32"/>
          <w:rtl/>
        </w:rPr>
        <w:t xml:space="preserve">وإذا فعلها بعد شرط الوجوب فإنها تجب حينئذ، كمن كفّر بعد الحنث.</w:t>
      </w:r>
    </w:p>
    <w:p>
      <w:pPr>
        <w:bidi/>
        <w:spacing w:after="200" w:line="360"/>
        <w:jc w:val="both"/>
      </w:pPr>
      <w:r>
        <w:rPr>
          <w:rFonts w:ascii="Traditional Arabic" w:cs="Traditional Arabic" w:eastAsia="Traditional Arabic" w:hAnsi="Traditional Arabic"/>
          <w:sz w:val="32"/>
          <w:szCs w:val="32"/>
          <w:rtl/>
        </w:rPr>
        <w:t xml:space="preserve">وإذا كانت هذه القاعدة بهذا الشرح لا زالت تحتاج إلى إيضاح، فلعل فيما نذكر من الفروع إيضاحًا لها أكثر:</w:t>
      </w:r>
    </w:p>
    <w:p>
      <w:pPr>
        <w:bidi/>
        <w:spacing w:after="200" w:line="360"/>
        <w:jc w:val="both"/>
      </w:pPr>
      <w:r>
        <w:rPr>
          <w:rFonts w:ascii="Traditional Arabic" w:cs="Traditional Arabic" w:eastAsia="Traditional Arabic" w:hAnsi="Traditional Arabic"/>
          <w:sz w:val="32"/>
          <w:szCs w:val="32"/>
          <w:rtl/>
        </w:rPr>
        <w:t xml:space="preserve">نقول: من ذلك كفارة اليمين؛ هي عبادة لها سبب وجوب وشرط وجوب؛ فسبب وجوب كفارة اليمين انعقاد اليمين، وشرط الوجوب هو مخالفة ما حلفت عليه. فلا يجوز إخراج الكفارة قبل عقد اليمين؛ لأنه سبب وجوبها، فالعبادة لا تصح قبل سبب الوجوب، ويجوز إخراج كفارة اليمين بعد عقد اليمين – لأن سبب الوجوب موجود، وهو عقد اليمين – وقبل الحنث؛ لتحقق سبب الوجوب، ويجب إخراجها بعد الحنث؛ لأنه شرط الوجوب، فإنما تجب عليك كفارة اليمين إذا خالفت مقتضى اليمين، فهنا يجب إخراج الكفارة بعد الحنث؛ لأنه شرط وجوبها.</w:t>
      </w:r>
    </w:p>
    <w:p>
      <w:pPr>
        <w:bidi/>
        <w:spacing w:after="200" w:line="360"/>
        <w:jc w:val="both"/>
      </w:pPr>
      <w:r>
        <w:rPr>
          <w:rFonts w:ascii="Traditional Arabic" w:cs="Traditional Arabic" w:eastAsia="Traditional Arabic" w:hAnsi="Traditional Arabic"/>
          <w:sz w:val="32"/>
          <w:szCs w:val="32"/>
          <w:rtl/>
        </w:rPr>
        <w:t xml:space="preserve">ويدل على ذلك قوله عليه الصلاة والسلام: «إني والله – إن شاء الله – لا أحلف على يمين فأرى غيرها خيرًا منها إلا كفّرت عن يميني وأتيت الذي هو خير». هذا الدليل على جواز إخراج الكفارة بعد عقدها وقبل الحنث، خلافًا لمن منع ذلك؛ لأن النبي عليه الصلاة والسلام قال: «إلا كفّرت عن يميني وأتيت الذي هو خير»؛ أتيت الذي هو خير مما حلفت على أن لا أفعله. فنقول لمن حلف على شيء: يجوز لك أن تقدّم كفارة اليمين قبل الحنث؛ لأن سبب وجوب كفارة اليمين في ذمتك قد انعقد بمجرد عقد اليمين.</w:t>
      </w:r>
    </w:p>
    <w:p>
      <w:pPr>
        <w:bidi/>
        <w:spacing w:after="200" w:line="360"/>
        <w:jc w:val="both"/>
      </w:pPr>
      <w:r>
        <w:rPr>
          <w:rFonts w:ascii="Traditional Arabic" w:cs="Traditional Arabic" w:eastAsia="Traditional Arabic" w:hAnsi="Traditional Arabic"/>
          <w:sz w:val="32"/>
          <w:szCs w:val="32"/>
          <w:rtl/>
        </w:rPr>
        <w:t xml:space="preserve">كذلك من فروع وتطبيقات هذه القاعدة: الصلاة المجموعة، كالظهرين والعشاءين، يصير وقتهما كالوقت الواحد، كما هو معلوم عند الفقهاء؛ فدخول وقت الأولى – يعني الظهر أو المغرب – سبب لوجوب فعل الثانية، العصر والعشاء، ودخول الوقت الثاني شرط لوجوبها. إذًا لا يجوز فعل الصلاة الثانية قبل دخول وقت الأولى، ويجوز فعلها بعد دخول وقت الأولى؛ لتحقق سبب وجوبها، لكنها لا تجب إلا إذا دخل وقت وجوبها، فتجب حينئذ، والله أعلم.</w:t>
      </w:r>
    </w:p>
    <w:p>
      <w:pPr>
        <w:bidi/>
        <w:spacing w:after="200" w:line="360"/>
        <w:jc w:val="both"/>
      </w:pPr>
      <w:r>
        <w:rPr>
          <w:rFonts w:ascii="Traditional Arabic" w:cs="Traditional Arabic" w:eastAsia="Traditional Arabic" w:hAnsi="Traditional Arabic"/>
          <w:sz w:val="32"/>
          <w:szCs w:val="32"/>
          <w:rtl/>
        </w:rPr>
        <w:t xml:space="preserve">ومنها مثلًا: كفارة القتل، لها سبب وجوب وشرط وجوب؛ فسبب وجوبها – الكفارة تجب على العبد – إذا قام بالجرح القاتل، وشرط الوجوب هو زهوق الروح، نسأل الله السلامة. فلا تصح كفارة القتل قبل الجرح؛ لأنه سبب وجوبها، ولا تصح العبادة قبل سبب وجوبها، ويجوز إخراجها بعد الجرح وقبل زهوق الروح؛ لتحقق سبب وجوبها، أما إذا زهقت النفس فحينئذ تجب الكفارة، وتقع صحيحة.</w:t>
      </w:r>
    </w:p>
    <w:p>
      <w:pPr>
        <w:bidi/>
        <w:spacing w:after="200" w:line="360"/>
        <w:jc w:val="both"/>
      </w:pPr>
      <w:r>
        <w:rPr>
          <w:rFonts w:ascii="Traditional Arabic" w:cs="Traditional Arabic" w:eastAsia="Traditional Arabic" w:hAnsi="Traditional Arabic"/>
          <w:sz w:val="32"/>
          <w:szCs w:val="32"/>
          <w:rtl/>
        </w:rPr>
        <w:t xml:space="preserve">كذلك من المسائل: الزكاة؛ عبادة لها سبب وجوب وشرط وجوب؛ فسبب وجوب الزكاة عليك هو أنك ملكت النصاب، وتمّ هذا الملك – تمام النصاب – وشرط الوجوب حولان الحول؛ إذا حال الحول الآن جاء شرط وجوب الزكاة. فعلى هذا فلا زكاة قبل تمام النصاب؛ لعدم انعقاد سبب الوجوب، هي لم تجب عليه؛ فمثلًا إنسان قال: أنا أُخرج هذه الزكاة لعله يأتيني مال، فأخرج مثلًا من الدنانير، قال: إذا أتاني المال لا أزكّي! فنقول: لا زكاة قبل تمام النصاب؛ لعدم انعقاد سبب الوجوب. لكن تجوز الزكاة بعد تمام النصاب؛ فإذا كمل عندك النصاب، وأردت أن تخرج الزكاة – نقول: شرط الوجوب هو حولان الحول – قال: أنا أريد أن أخرجها بعدما كمل النصاب عندي وقبل حولان الحول، نقول: يجوز؛ لأن سبب وجوبها موجود ومتحقق فيك، وهو تمام النصاب. وهذه القاعدة تؤيد قول من قال بجواز تقديم الزكاة بعد تمام النصاب لعام أو عامين، خاصة أن الآثار تؤيد ذلك.</w:t>
      </w:r>
    </w:p>
    <w:p>
      <w:pPr>
        <w:bidi/>
        <w:spacing w:after="200" w:line="360"/>
        <w:jc w:val="both"/>
      </w:pPr>
      <w:r>
        <w:rPr>
          <w:rFonts w:ascii="Traditional Arabic" w:cs="Traditional Arabic" w:eastAsia="Traditional Arabic" w:hAnsi="Traditional Arabic"/>
          <w:sz w:val="32"/>
          <w:szCs w:val="32"/>
          <w:rtl/>
        </w:rPr>
        <w:t xml:space="preserve">كذلك من مسائل وتفريعات القاعدة: صلاة الجمعة، لها سبب وجوب وشرط وجوب؛ فسبب وجوب صلاة الجمعة هو يومها، يوم الجمعة سبب الوجوب، وشرط الوجوب هو الزوال. فلا يجوز فعلها قبل سبب وجوبها، ويجوز بعده، وتجب بعد الزوال. وهذا دليل لمن قال بجواز فعلها قبل الزوال، كما هو مذهب الإمام أحمد وأصحابه، ولكن ذهب الجمهور إلى أنه لا يجوز فعلها إلا بعد الزوال.</w:t>
      </w:r>
    </w:p>
    <w:p>
      <w:pPr>
        <w:bidi/>
        <w:spacing w:after="200" w:line="360"/>
        <w:jc w:val="both"/>
      </w:pPr>
      <w:r>
        <w:rPr>
          <w:rFonts w:ascii="Traditional Arabic" w:cs="Traditional Arabic" w:eastAsia="Traditional Arabic" w:hAnsi="Traditional Arabic"/>
          <w:sz w:val="32"/>
          <w:szCs w:val="32"/>
          <w:rtl/>
        </w:rPr>
        <w:t xml:space="preserve">كذلك من فروع هذه القاعدة: الطهارة؛ الطهارة عبادة لها سبب وجوب وشرط وجوب؛ فسبب وجوب الطهارة عليك هو وجود الحدث؛ الحدث هو السبب الذي يوجب على العبد أن يتطهر. ما السبب في أن الطهارة واجبة على فلان، وغير واجبة على فلان؟ نقول: إن فلانًا أحدث فهي واجبة عليه، وفلانًا لم يحدث فلم تجب عليه. فسبب وجوب الطهارة هو الحدث، وشرط وجوبها عليك القيام إلى الصلاة؛ فتجوز الطهارة بعد الحدث وقبل القيام إلى الصلاة، وتجب وجوبًا عند إرادة القيام إلى الصلاة؛ لأنها شرط وجوبها.</w:t>
      </w:r>
    </w:p>
    <w:p>
      <w:pPr>
        <w:bidi/>
        <w:spacing w:after="200" w:line="360"/>
        <w:jc w:val="both"/>
      </w:pPr>
      <w:r>
        <w:rPr>
          <w:rFonts w:ascii="Traditional Arabic" w:cs="Traditional Arabic" w:eastAsia="Traditional Arabic" w:hAnsi="Traditional Arabic"/>
          <w:sz w:val="32"/>
          <w:szCs w:val="32"/>
          <w:rtl/>
        </w:rPr>
        <w:t xml:space="preserve">وأحسب أن بهذه الفروع إن شاء الله قد فُهمت هذه القاعدة، وعُلم ما يتفرع عليها. لكن كما ذكرت سابقًا: فهم هذه القاعدة متوقف على معرفة سبب الوجوب وشرط الوجوب، وهذا يحتاج إلى نظر الفقيه، إلى معرفة دقيقة، وتفريق بين سبب الوجوب وشرط الوجوب؛ حتى نعرف أن هذه العبادة وقعت على وجهها الصحيح لوجود سبب الوجوب، ووقعت واجبة عليه لوجود شرط الوجوب. فمتى فرّق المرء بين سبب وجوب العبادة وشرط وجوب العبادة ازدادت له هذه القاعدة وضوحًا وجلاءً، ولعلنا بهذه الفروع والتطبيقات قد وصلنا إلى إيضاح هذه القاعدة، وما أصّله الفقهاء فيها، وما طبّقوا عليها من تفريعات.</w:t>
      </w:r>
    </w:p>
    <w:p>
      <w:pPr>
        <w:bidi/>
        <w:spacing w:after="200" w:line="360"/>
        <w:jc w:val="both"/>
      </w:pPr>
      <w:r>
        <w:rPr>
          <w:rFonts w:ascii="Traditional Arabic" w:cs="Traditional Arabic" w:eastAsia="Traditional Arabic" w:hAnsi="Traditional Arabic"/>
          <w:sz w:val="32"/>
          <w:szCs w:val="32"/>
          <w:rtl/>
        </w:rPr>
        <w:t xml:space="preserve">نسأل الله عز وجل بأسمائه الحسنى وصفاته العلى أن يرزقنا وإياكم علمًا نافعًا، وعملًا صالحًا، ورزقًا واسعًا، وشفاءً من كل داء، وأن يصلح قلوبنا وأحوالنا وأحوال المسلمين في كل مكان، والله أعلم، وصلى الله وسلم على نبينا محمد.</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aditional Arabic" w:cs="Traditional Arabic" w:eastAsia="Traditional Arabic" w:hAnsi="Traditional Arabic"/>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2026-10-15T09:49:40.907Z</dcterms:created>
  <dcterms:modified xsi:type="dcterms:W3CDTF">2026-10-15T09:49:40.907Z</dcterms:modified>
</cp:coreProperties>
</file>

<file path=docProps/custom.xml><?xml version="1.0" encoding="utf-8"?>
<Properties xmlns="http://schemas.openxmlformats.org/officeDocument/2006/custom-properties" xmlns:vt="http://schemas.openxmlformats.org/officeDocument/2006/docPropsVTypes"/>
</file>