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22</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المهمة، والتي لها تطبيقات كثيرة، قاعدة يعبّر عنها الفقهاء بقولهم: «التابع تبع»، أو «التابع يتبع». ولمعرفة حقيقة هذه القاعدة لا بد من بيان معناها، وتأصيلها الشرعي، وتحليل عناصرها، وتطبيقاتها.</w:t>
      </w:r>
    </w:p>
    <w:p>
      <w:pPr>
        <w:bidi/>
        <w:spacing w:after="200" w:line="360"/>
        <w:jc w:val="both"/>
      </w:pPr>
      <w:r>
        <w:rPr>
          <w:rFonts w:ascii="Traditional Arabic" w:cs="Traditional Arabic" w:eastAsia="Traditional Arabic" w:hAnsi="Traditional Arabic"/>
          <w:sz w:val="32"/>
          <w:szCs w:val="32"/>
          <w:rtl/>
        </w:rPr>
        <w:t xml:space="preserve">التابع في اللغة: هو تلوّ الشيء واللحاق به، من «تبع عمرو زيدًا» إذا مشى خلفه، ويقال: المصلي تبع لإمامه. والتبع هو التلوّ والقفو واللحاق، فتقول: تبعتُ فلانًا إذا تلوته، واتّبعته إذا لحقته.</w:t>
      </w:r>
    </w:p>
    <w:p>
      <w:pPr>
        <w:bidi/>
        <w:spacing w:after="200" w:line="360"/>
        <w:jc w:val="both"/>
      </w:pPr>
      <w:r>
        <w:rPr>
          <w:rFonts w:ascii="Traditional Arabic" w:cs="Traditional Arabic" w:eastAsia="Traditional Arabic" w:hAnsi="Traditional Arabic"/>
          <w:sz w:val="32"/>
          <w:szCs w:val="32"/>
          <w:rtl/>
        </w:rPr>
        <w:t xml:space="preserve">والتابع في اصطلاح الفقهاء يُطلق على:</w:t>
      </w:r>
    </w:p>
    <w:p>
      <w:pPr>
        <w:bidi/>
        <w:spacing w:after="200" w:line="360"/>
        <w:jc w:val="both"/>
      </w:pPr>
      <w:r>
        <w:rPr>
          <w:rFonts w:ascii="Traditional Arabic" w:cs="Traditional Arabic" w:eastAsia="Traditional Arabic" w:hAnsi="Traditional Arabic"/>
          <w:sz w:val="32"/>
          <w:szCs w:val="32"/>
          <w:rtl/>
        </w:rPr>
        <w:t xml:space="preserve">ما اتصل بغيره اتصالًا حقيقيًا، خلقةً أو شرعًا، بحيث يكون جزءًا منه، كالعضو من الحيوان فهو تابع له، وفرع الشجرة، أو كالباب وقفل الباب المثبّت في الباب، تابع له.</w:t>
      </w:r>
    </w:p>
    <w:p>
      <w:pPr>
        <w:bidi/>
        <w:spacing w:after="200" w:line="360"/>
        <w:jc w:val="both"/>
      </w:pPr>
      <w:r>
        <w:rPr>
          <w:rFonts w:ascii="Traditional Arabic" w:cs="Traditional Arabic" w:eastAsia="Traditional Arabic" w:hAnsi="Traditional Arabic"/>
          <w:sz w:val="32"/>
          <w:szCs w:val="32"/>
          <w:rtl/>
        </w:rPr>
        <w:t xml:space="preserve">ويطلق الفقهاء أحيانًا التابع على ما اتصل بغيره اتصالًا قابلًا للانفصال عنه، مثل الجنين، والثمار؛ فهذه وإن كانت تابعة لكن يمكن أن تنفصل عن المتبوع.</w:t>
      </w:r>
    </w:p>
    <w:p>
      <w:pPr>
        <w:bidi/>
        <w:spacing w:after="200" w:line="360"/>
        <w:jc w:val="both"/>
      </w:pPr>
      <w:r>
        <w:rPr>
          <w:rFonts w:ascii="Traditional Arabic" w:cs="Traditional Arabic" w:eastAsia="Traditional Arabic" w:hAnsi="Traditional Arabic"/>
          <w:sz w:val="32"/>
          <w:szCs w:val="32"/>
          <w:rtl/>
        </w:rPr>
        <w:t xml:space="preserve">ويطلق الفقهاء أيضًا التابع على ما اتصل بغيره اتصالًا ضروريًا، كالمفتاح من القفل؛ فهذا تابع، فإذا بعت القفل لا بد أن تبيع معه مفتاحه، وهكذا.</w:t>
      </w:r>
    </w:p>
    <w:p>
      <w:pPr>
        <w:bidi/>
        <w:spacing w:after="200" w:line="360"/>
        <w:jc w:val="both"/>
      </w:pPr>
      <w:r>
        <w:rPr>
          <w:rFonts w:ascii="Traditional Arabic" w:cs="Traditional Arabic" w:eastAsia="Traditional Arabic" w:hAnsi="Traditional Arabic"/>
          <w:sz w:val="32"/>
          <w:szCs w:val="32"/>
          <w:rtl/>
        </w:rPr>
        <w:t xml:space="preserve">والرابع: ما اتصل بغيره اتصالًا عُرفيًا، كالنقل والتفريغ في الأشياء المباعة. وإذا كان التابع يخضع للعرف والعادة فإنه يختلف من مجتمع إلى آخر، ومن زمان إلى زمان آخر؛ فإذا تغيّر العرف تغيّر الحكم، عملًا بقاعدة «لا يُنكر تغيّر الأحكام بتغيّر الأزمان» التي سبق أن تكلمنا عنها.</w:t>
      </w:r>
    </w:p>
    <w:p>
      <w:pPr>
        <w:bidi/>
        <w:spacing w:after="200" w:line="360"/>
        <w:jc w:val="both"/>
      </w:pPr>
      <w:r>
        <w:rPr>
          <w:rFonts w:ascii="Traditional Arabic" w:cs="Traditional Arabic" w:eastAsia="Traditional Arabic" w:hAnsi="Traditional Arabic"/>
          <w:sz w:val="32"/>
          <w:szCs w:val="32"/>
          <w:rtl/>
        </w:rPr>
        <w:t xml:space="preserve">المهم أن المعنى الإجمالي للقاعدة: أن التابع للشيء في الوجود – حقيقةً أو حكمًا – تابع له في الحكم، فيسري عليه ما يسري على متبوعه، ولا يُفرد التابع بحكم، بل له حكم الأصل. فإذا بيع حيوان في بطنه جنين دخل الجنين في البيع تابعًا لأمه، ولا يجوز إفراد الجنين بالبيع؛ لأنه جاءت السنة بالنهي عن هذا. لكن كان جائزًا بيع الجنين لأنه تابع لأمه، لكن لو أردنا أن نفرد البيع، ونوقع العقد على الجنين وحده، لكان البيع باطلًا. وبهذا نعرف أن التابع للشيء يأخذ حكمه.</w:t>
      </w:r>
    </w:p>
    <w:p>
      <w:pPr>
        <w:bidi/>
        <w:spacing w:after="200" w:line="360"/>
        <w:jc w:val="both"/>
      </w:pPr>
      <w:r>
        <w:rPr>
          <w:rFonts w:ascii="Traditional Arabic" w:cs="Traditional Arabic" w:eastAsia="Traditional Arabic" w:hAnsi="Traditional Arabic"/>
          <w:sz w:val="32"/>
          <w:szCs w:val="32"/>
          <w:rtl/>
        </w:rPr>
        <w:t xml:space="preserve">إلى ماذا تستند هذه القاعدة؟ ما دليلها؟ دليل هذه القاعدة: السنة، والإجماع، والعقل.</w:t>
      </w:r>
    </w:p>
    <w:p>
      <w:pPr>
        <w:bidi/>
        <w:spacing w:after="200" w:line="360"/>
        <w:jc w:val="both"/>
      </w:pPr>
      <w:r>
        <w:rPr>
          <w:rFonts w:ascii="Traditional Arabic" w:cs="Traditional Arabic" w:eastAsia="Traditional Arabic" w:hAnsi="Traditional Arabic"/>
          <w:sz w:val="32"/>
          <w:szCs w:val="32"/>
          <w:rtl/>
        </w:rPr>
        <w:t xml:space="preserve">فمن السنة: حديث ابن عمر رضي الله عنهما عن النبي عليه الصلاة والسلام قال: «من باع نخلًا قد أُبّرت فثمرتها للبائع، إلا أن يشترط المبتاع». فالإبار هو التلقيح، وإبار كل شيء بحسب ما جرت العادة به، ولا يُشترط في التأبير أن يؤبّرها أحد، بل لو تأبّرت بنفسها لم يختلف الحكم. المهم أن الحديث يدل بمنطوقه على أن النبي عليه الصلاة والسلام جعل ثمار النخيل المبيع للبائع إذا كانت مؤبّرة – هذا هو الوصف – إلا أن يشترطها المشتري في العقد، يقول المشتري: أنا أشتريها بشرط أن الثمار لي. ويدل بمفهومه على أن الثمار قبل التأبير تكون للمشتري؛ لأن النبي عليه الصلاة والسلام جعلها للبائع بشرط الإبار، فإذا انتفى الشرط انتفى المشروط، كما قرّر ذلك الحافظ ابن حجر في «الفتح» على هذا الحديث.</w:t>
      </w:r>
    </w:p>
    <w:p>
      <w:pPr>
        <w:bidi/>
        <w:spacing w:after="200" w:line="360"/>
        <w:jc w:val="both"/>
      </w:pPr>
      <w:r>
        <w:rPr>
          <w:rFonts w:ascii="Traditional Arabic" w:cs="Traditional Arabic" w:eastAsia="Traditional Arabic" w:hAnsi="Traditional Arabic"/>
          <w:sz w:val="32"/>
          <w:szCs w:val="32"/>
          <w:rtl/>
        </w:rPr>
        <w:t xml:space="preserve">كذلك من أدلة هذه القاعدة: حديث أبي سعيد الخدري رضي الله عنه عن النبي صلى الله عليه وسلم قال: «ذكاة الجنين ذكاة أمه»، أخرجه الترمذي وغيره. فالذكاة الذبح الشرعي، والحديث يدل على أن الجنين يتبع أمه في الذكاة؛ فإذا ذُكّيت أمه يحل بذكاة الأم، اللهم إلا أن يخرج حيًّا حياة مستقرة، فهنا يحتاج إلى تذكية خاصة.</w:t>
      </w:r>
    </w:p>
    <w:p>
      <w:pPr>
        <w:bidi/>
        <w:spacing w:after="200" w:line="360"/>
        <w:jc w:val="both"/>
      </w:pPr>
      <w:r>
        <w:rPr>
          <w:rFonts w:ascii="Traditional Arabic" w:cs="Traditional Arabic" w:eastAsia="Traditional Arabic" w:hAnsi="Traditional Arabic"/>
          <w:sz w:val="32"/>
          <w:szCs w:val="32"/>
          <w:rtl/>
        </w:rPr>
        <w:t xml:space="preserve">والعلماء أجمعوا على العمل بهذه القاعدة من حيث الجملة؛ فقد اتفق الفقهاء على أنه يدخل في بيع الدار الأرض وكل بناء تابع لها. قال ابن المنذر: إنه لم يُروَ عن أحد من الصحابة ولا عن العلماء أن الجنين لا يؤكل إلا باستئناف الذكاة فيه، إلا ما روي عن أبي حنيفة. وهذا يدل على أن الفقهاء في الجملة اتفقوا على العمل بقاعدة «التابع تبع».</w:t>
      </w:r>
    </w:p>
    <w:p>
      <w:pPr>
        <w:bidi/>
        <w:spacing w:after="200" w:line="360"/>
        <w:jc w:val="both"/>
      </w:pPr>
      <w:r>
        <w:rPr>
          <w:rFonts w:ascii="Traditional Arabic" w:cs="Traditional Arabic" w:eastAsia="Traditional Arabic" w:hAnsi="Traditional Arabic"/>
          <w:sz w:val="32"/>
          <w:szCs w:val="32"/>
          <w:rtl/>
        </w:rPr>
        <w:t xml:space="preserve">ومن تطبيقات هذه القاعدة:</w:t>
      </w:r>
    </w:p>
    <w:p>
      <w:pPr>
        <w:bidi/>
        <w:spacing w:after="200" w:line="360"/>
        <w:jc w:val="both"/>
      </w:pPr>
      <w:r>
        <w:rPr>
          <w:rFonts w:ascii="Traditional Arabic" w:cs="Traditional Arabic" w:eastAsia="Traditional Arabic" w:hAnsi="Traditional Arabic"/>
          <w:sz w:val="32"/>
          <w:szCs w:val="32"/>
          <w:rtl/>
        </w:rPr>
        <w:t xml:space="preserve">أطفال المؤمنين: أجمع العلماء – إلا قولًا شاذًّا – على أن أطفال المؤمنين مع آبائهم في الجنة؛ لقوله عليه الصلاة والسلام لما سُئل عنهم، قال: «في الجنة مع آبائهم»؛ ذلك لأنهم تابعون لآبائهم في الوجود، فيتبعونهم في الحكم؛ لأن التابع في الوجود تابع في الحكم. والأصل أن ينسحب ذلك على أطفال المشركين، فيكونوا مع آبائهم في النار، لكن لوجود النص استُثني أطفال المشركين من أن يتبعوا آباءهم، وهذا منه غاية الحكمة والرحمة من رب العالمين؛ فقد جاء في الحديث أن أطفال المشركين يُمتحنون يوم القيامة، كما ثبت أنهم يُمتحنون في عرصات يوم القيامة، وهذا اختيار شيخ الإسلام ابن تيمية، أنهم يُمتحنون في الآخرة، والله أعلم بما كانوا عاملين. فلوجود هذا الدليل الذي يفصل بين أولاد المشركين وآبائهم، لا نقول: إن التابع تابع لأصله؛ لوجود النص الفاصل بين التابع ومتبوعه.</w:t>
      </w:r>
    </w:p>
    <w:p>
      <w:pPr>
        <w:bidi/>
        <w:spacing w:after="200" w:line="360"/>
        <w:jc w:val="both"/>
      </w:pPr>
      <w:r>
        <w:rPr>
          <w:rFonts w:ascii="Traditional Arabic" w:cs="Traditional Arabic" w:eastAsia="Traditional Arabic" w:hAnsi="Traditional Arabic"/>
          <w:sz w:val="32"/>
          <w:szCs w:val="32"/>
          <w:rtl/>
        </w:rPr>
        <w:t xml:space="preserve">كذلك من تطبيقات هذه القاعدة وفروعها: أن اللقيط إذا وُجد في بلاد إسلامية، أو يغلب فيها المسلمون، فإنه يُحكم بإسلامه؛ لأنه تابع لأهلها في الوجود؛ إذ هو موجود بينهم، فهو تابع لهم في الحكم وهو الإسلام. وكذلك إذا وُجد في ديار كفار ليس فيها مسلم فإنه يُحكم بكفره؛ لأنه تابع لهم في الوجود، والتابع في الوجود تابع في الحكم.</w:t>
      </w:r>
    </w:p>
    <w:p>
      <w:pPr>
        <w:bidi/>
        <w:spacing w:after="200" w:line="360"/>
        <w:jc w:val="both"/>
      </w:pPr>
      <w:r>
        <w:rPr>
          <w:rFonts w:ascii="Traditional Arabic" w:cs="Traditional Arabic" w:eastAsia="Traditional Arabic" w:hAnsi="Traditional Arabic"/>
          <w:sz w:val="32"/>
          <w:szCs w:val="32"/>
          <w:rtl/>
        </w:rPr>
        <w:t xml:space="preserve">كذلك من مسائلها: الحمل في البطن، إن بيعت أمه دخل معها في البيع تبعًا مع وجود الجهالة، لكنه لا يُفرد بثمن خاص؛ لأنه مجهول، والمجهول لا يصح بيعه؛ لأنه من الغرر، وقد نهى النبي صلى الله عليه وسلم عن بيع الغرر. لكن لما بيعت أمه فإنه يدخل معها تبعًا، مع أنه لم يُصرَّح به؛ لأنه تابع لها في الوجود، فيكون تابعًا لها في الحكم.</w:t>
      </w:r>
    </w:p>
    <w:p>
      <w:pPr>
        <w:bidi/>
        <w:spacing w:after="200" w:line="360"/>
        <w:jc w:val="both"/>
      </w:pPr>
      <w:r>
        <w:rPr>
          <w:rFonts w:ascii="Traditional Arabic" w:cs="Traditional Arabic" w:eastAsia="Traditional Arabic" w:hAnsi="Traditional Arabic"/>
          <w:sz w:val="32"/>
          <w:szCs w:val="32"/>
          <w:rtl/>
        </w:rPr>
        <w:t xml:space="preserve">كذلك من تطبيقات هذه القاعدة: أنه إذا بيع القفل فإنه يدخل معه المفتاح في البيع تابعًا له؛ لأن المفتاح تابع للقفل في الوجود؛ ولذلك يجب أن يكون تابعًا له في الحكم، فوقع البيع عليهما.</w:t>
      </w:r>
    </w:p>
    <w:p>
      <w:pPr>
        <w:bidi/>
        <w:spacing w:after="200" w:line="360"/>
        <w:jc w:val="both"/>
      </w:pPr>
      <w:r>
        <w:rPr>
          <w:rFonts w:ascii="Traditional Arabic" w:cs="Traditional Arabic" w:eastAsia="Traditional Arabic" w:hAnsi="Traditional Arabic"/>
          <w:sz w:val="32"/>
          <w:szCs w:val="32"/>
          <w:rtl/>
        </w:rPr>
        <w:t xml:space="preserve">وكذلك من المسائل والفروع والتطبيقات على هذه القاعدة: أنه إذا بيعت الدار فإنه يدخل في بيعها ما كان من ضروراتها، كالجدران والسقف والأرض، وما كان متصلًا بها لمصلحتها كالأبواب؛ فلا يصح أن يقول البائع: أنا بعت البيت، لكن أخذ الأبواب، وأخذ النوافذ، أو أعاد السلّم. نقول: إن هذا تابع للدار، وإن لم يُنصّ عليه، وما دام أنه تابع يأخذ حكم الأصل. فإذا بيعت الدار دخل في بيعها ما كان من ضروراتها دون حاجة إلى أن يُنصّ عليها، كأن يُدخل معها مثلًا أسلاك الكهرباء والإنارة، والمظلة الخارجية للبيت، ونحو ذلك، فنقول: لا حاجة لذكرها؛ لأن هذه الأشياء تتبع الدار في الوجود، والتابع في الوجود تابع في الحكم.</w:t>
      </w:r>
    </w:p>
    <w:p>
      <w:pPr>
        <w:bidi/>
        <w:spacing w:after="200" w:line="360"/>
        <w:jc w:val="both"/>
      </w:pPr>
      <w:r>
        <w:rPr>
          <w:rFonts w:ascii="Traditional Arabic" w:cs="Traditional Arabic" w:eastAsia="Traditional Arabic" w:hAnsi="Traditional Arabic"/>
          <w:sz w:val="32"/>
          <w:szCs w:val="32"/>
          <w:rtl/>
        </w:rPr>
        <w:t xml:space="preserve">ومن تطبيقات هذه القاعدة: أنه إذا ضحّى الإنسان بأضحية عنه وعن أهل بيته أجزأت عن الجميع؛ أما هو فلأنه الأصل، وأما هم فلأنهم تبع له في الوجود، فيتبعونه في الأجر والإجزاء.</w:t>
      </w:r>
    </w:p>
    <w:p>
      <w:pPr>
        <w:bidi/>
        <w:spacing w:after="200" w:line="360"/>
        <w:jc w:val="both"/>
      </w:pPr>
      <w:r>
        <w:rPr>
          <w:rFonts w:ascii="Traditional Arabic" w:cs="Traditional Arabic" w:eastAsia="Traditional Arabic" w:hAnsi="Traditional Arabic"/>
          <w:sz w:val="32"/>
          <w:szCs w:val="32"/>
          <w:rtl/>
        </w:rPr>
        <w:t xml:space="preserve">ومن مسائل هذه القاعدة المكمّلة: «التابع تبع»، و«التابع يتبع» بألفاظ متعددة ومؤداها واحد، منها ما قاله الفقهاء: «إذا برئ الأصيل برئ الضامن». والمراد بالأصيل: صاحب الدين، والضامن: الذي يضمن الدين. يعني إذا أخذتُ من الإنسان دينًا فأنا أُسمّى الأصيل – صاحب الدين – ثم طلب مني ضامنًا يضمنني، فأحضرت ضامنًا، فقال: أنا أضمنه، فضمنني هذا الضامن. ثم بعد فترة سدّدتُ الدين فبرئت ذمتي، ومباشرة تبرأ ذمة الضامن، فلا يطالب بشيء. أو أتى صاحب الدين فقال: الدين الذي لي عليك أنا تنازلت عنه وأبرأت ذمتك، فإذا برئت ذمة الأصيل – صاحب الدين – برئت ذمة الضامن من الدين كما سبق. فإذا سدّد الأصيل وبرئت ذمته فإنه تبعًا تبرأ ذمة الضامن؛ لأن الضامن تابع للأصيل في التحمل، فإذا برئت ذمة الأصل برئت ذمة الفرع.</w:t>
      </w:r>
    </w:p>
    <w:p>
      <w:pPr>
        <w:bidi/>
        <w:spacing w:after="200" w:line="360"/>
        <w:jc w:val="both"/>
      </w:pPr>
      <w:r>
        <w:rPr>
          <w:rFonts w:ascii="Traditional Arabic" w:cs="Traditional Arabic" w:eastAsia="Traditional Arabic" w:hAnsi="Traditional Arabic"/>
          <w:sz w:val="32"/>
          <w:szCs w:val="32"/>
          <w:rtl/>
        </w:rPr>
        <w:t xml:space="preserve">كذلك من تفريعات وتطبيقات هذه القاعدة: أن حق النفقة الزوجية، والسكنى، والمعاشرة الحسنة، وحق المبيت والطاعة، كل هذه تتبع عقد الزواج في الوجود، فإذا وُجد وُجدت هذه الحقوق للمرأة، ولا يحتاج إلى النص عليها؛ مثلًا: أن يُنص لها على السكنى، وأنك تنفق عليها، أو تعاشرها بالمعروف، وعلى هذا الشرط أن تعاشرها بالمعروف، نقول: هذه لا حاجة لها؛ لأن هذه واجبة تابعة للعقد، لا تحتاج إلى النص عليها إلا إذا كان فيها شيء زائد عن العرف. فلا يلزم المرأة أن تشترط النفقة والسكنى والمعاشرة الحسنة، ولا يلزم الزوج أن يشترط عليها أن تطيعه، أو أن يذكر أنه مثلًا سينفق عليها، نقول: بمجرد عقد الزواج أنت ملزم بهذا؛ لأن ذلك كله يثبت بمجرد العقد، ويحدّده العرف؛ حدّد هذه الأمور العرف. لكن أن ننص على أن من تزوّج لا بد أن ينفق على زوجته، ولا بد من مسكنها، ولا بد أن يعاشرها بالمعروف، نقول: هذا لا حاجة له؛ لأن كل هذه الأمور تتبع عقد الزواج في الوجود، فإذا وُجد وُجدت، ولا يحتاج إلى النص عليها.</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2026-10-15T09:49:41.271Z</dcterms:created>
  <dcterms:modified xsi:type="dcterms:W3CDTF">2026-10-15T09:49:41.271Z</dcterms:modified>
</cp:coreProperties>
</file>

<file path=docProps/custom.xml><?xml version="1.0" encoding="utf-8"?>
<Properties xmlns="http://schemas.openxmlformats.org/officeDocument/2006/custom-properties" xmlns:vt="http://schemas.openxmlformats.org/officeDocument/2006/docPropsVTypes"/>
</file>