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23</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ولعلنا نتعرّف في هذه الحلقة على قاعدة فقهية جليلة القدر، كثيرة الفائدة، وهي التي نصّ عليها الفقهاء بقولهم: «الحكم الحادث يُضاف إلى السبب المعلوم، لا إلى المقدَّر المظنون». قولنا: «الحادث» أي الواقع حديثًا، وقول الفقهاء: «يُضاف» أي يُلحق ويُنسب ويُرجع «إلى السبب المعلوم»، الذي نراه متيقَّنًا أو ظاهرًا، «لا إلى المقدَّر المظنون»؛ يعني لا نُلحق هذا الحادث ونضيفه إلى شيء مشكوك في وجوده أو في سببيته لهذا الحادث.</w:t>
      </w:r>
    </w:p>
    <w:p>
      <w:pPr>
        <w:bidi/>
        <w:spacing w:after="200" w:line="360"/>
        <w:jc w:val="both"/>
      </w:pPr>
      <w:r>
        <w:rPr>
          <w:rFonts w:ascii="Traditional Arabic" w:cs="Traditional Arabic" w:eastAsia="Traditional Arabic" w:hAnsi="Traditional Arabic"/>
          <w:sz w:val="32"/>
          <w:szCs w:val="32"/>
          <w:rtl/>
        </w:rPr>
        <w:t xml:space="preserve">وخلاصة القاعدة: أنه إذا وقع تنازع في سبب حكم ما من الأحكام – أيًّا كان – وأمكن إضافته إلى سببين: أحدهما معلوم ظاهر، والآخر مظنون مقدَّر – أي مفترض محتمل في عالم الأذهان – فإننا نضيف هذا الحكم إلى السبب الذي تيقّنّا سببيته وعلمناه، لا إلى ما لم نتيقّن ثبوته وسببيته؛ ذلك لأن هذا السبب المعلوم متيقَّن الثبوت، والسبب المقدَّر المظنون مشكوك في ثبوته، و«اليقين لا يزول بالشك» كما تقدّم.</w:t>
      </w:r>
    </w:p>
    <w:p>
      <w:pPr>
        <w:bidi/>
        <w:spacing w:after="200" w:line="360"/>
        <w:jc w:val="both"/>
      </w:pPr>
      <w:r>
        <w:rPr>
          <w:rFonts w:ascii="Traditional Arabic" w:cs="Traditional Arabic" w:eastAsia="Traditional Arabic" w:hAnsi="Traditional Arabic"/>
          <w:sz w:val="32"/>
          <w:szCs w:val="32"/>
          <w:rtl/>
        </w:rPr>
        <w:t xml:space="preserve">والأدلة على هذه القاعدة المهمة هي جميع الأدلة الدالة على أن اليقين لا يزول بالشك. ومما يُستدل به عليها نصًّا: حديث عدي بن حاتم في الصحيحين عن النبي صلى الله عليه وسلم أنه قال: «إذا أرسلت كلبك المعلَّم وسمّيت، فأمسك وقتل، فكُل، وإن أكل فلا تأكل؛ فإنما أمسك على نفسه، وإن رميت الصيد فوجدته بعد يوم أو يومين ليس به إلا أثر سهمك فكُل، وإن وقع في الماء فلا تأكل».</w:t>
      </w:r>
    </w:p>
    <w:p>
      <w:pPr>
        <w:bidi/>
        <w:spacing w:after="200" w:line="360"/>
        <w:jc w:val="both"/>
      </w:pPr>
      <w:r>
        <w:rPr>
          <w:rFonts w:ascii="Traditional Arabic" w:cs="Traditional Arabic" w:eastAsia="Traditional Arabic" w:hAnsi="Traditional Arabic"/>
          <w:sz w:val="32"/>
          <w:szCs w:val="32"/>
          <w:rtl/>
        </w:rPr>
        <w:t xml:space="preserve">ووجه الاستدلال من هذا الحديث: أن الصيد الذي رماه بسهم فذهب، ثم وجده ميتًا: إما أنه لا يجد به إلا أثر السهم، ولا يوجد به ما يحتمل أنه سبب لموته إلا رمية السهم، فهذا هو السبب الظاهر. وإما أن يكون مات بسقوطه مثلًا، أو بظمئه، أو جوعه، وهذا أيضًا سبب، وهو سبب محرّم لهذا الصيد. فهنا سببان: سبب معلوم ظاهر وهو الرمي بالسهم، وسبب مقدّر مظنون وهو أن يكون مات بجوع أو عطش. فأجاز النبي صلى الله عليه وسلم أكل مثل هذا الصيد، مما يدل على أنه أضاف موته إلى السبب المعلوم المتيقَّن ثبوته وهو رمية السهم، وأبطل جميع الأسباب المظنونة المحتملة: أن يكون مات بسبب السقوط وارتطامه بالأرض، أو مات بظمئه أو جوعه؛ لأن الأصل أن نحمل ما أمامنا على السبب الظاهر المعلوم، ونُبعد الأسباب الظنية المقدّرة المفترضة.</w:t>
      </w:r>
    </w:p>
    <w:p>
      <w:pPr>
        <w:bidi/>
        <w:spacing w:after="200" w:line="360"/>
        <w:jc w:val="both"/>
      </w:pPr>
      <w:r>
        <w:rPr>
          <w:rFonts w:ascii="Traditional Arabic" w:cs="Traditional Arabic" w:eastAsia="Traditional Arabic" w:hAnsi="Traditional Arabic"/>
          <w:sz w:val="32"/>
          <w:szCs w:val="32"/>
          <w:rtl/>
        </w:rPr>
        <w:t xml:space="preserve">كذلك الصيد الذي وقع في الماء بعد الرمي، فيحتمل الأمرين: إما أن يكون مات بسبب رمية السهم، أو يكون مات بسبب سقوطه في الماء غرقًا، وهذا السبب يقتل غالبًا؛ فهنا سببان، وكلاهما معلوم ظاهر، لكن كونه مات بسبب ارتطامه بالماء وغرقه فيه هذا أظهر وأثبت؛ لأن السهم لم يجرحه جرحًا موحيًا، أي قاتلًا؛ لذلك قال النبي عليه الصلاة والسلام: «فلا تأكل»؛ تغليبًا للسبب المحرّم؛ لأنه ثبوته أظهر، ونراه واضحًا. هذه هي أدلة هذه القاعدة.</w:t>
      </w:r>
    </w:p>
    <w:p>
      <w:pPr>
        <w:bidi/>
        <w:spacing w:after="200" w:line="360"/>
        <w:jc w:val="both"/>
      </w:pPr>
      <w:r>
        <w:rPr>
          <w:rFonts w:ascii="Traditional Arabic" w:cs="Traditional Arabic" w:eastAsia="Traditional Arabic" w:hAnsi="Traditional Arabic"/>
          <w:sz w:val="32"/>
          <w:szCs w:val="32"/>
          <w:rtl/>
        </w:rPr>
        <w:t xml:space="preserve">ولعلنا ننتقل إلى تطبيقاتها حتى تتضح أكثر:</w:t>
      </w:r>
    </w:p>
    <w:p>
      <w:pPr>
        <w:bidi/>
        <w:spacing w:after="200" w:line="360"/>
        <w:jc w:val="both"/>
      </w:pPr>
      <w:r>
        <w:rPr>
          <w:rFonts w:ascii="Traditional Arabic" w:cs="Traditional Arabic" w:eastAsia="Traditional Arabic" w:hAnsi="Traditional Arabic"/>
          <w:sz w:val="32"/>
          <w:szCs w:val="32"/>
          <w:rtl/>
        </w:rPr>
        <w:t xml:space="preserve">من تطبيقات هذه القاعدة: لو وقعت في الماء نجاسة، فتغيّر أحد أوصافه، ثم غبنا عنه غيبة يزول فيها وصف النجاسة غالبًا، ثم وجدناه بعدها لا يزال متغيرًا، وتغيّره هذا يحتمل أنه من النجاسة التي علمنا وقوعها فيه أولًا، ويحتمل أنه من سبب آخر؛ فعندنا إذًا سببان: أحدهما معلوم، وهو أن يكون تغيّره بوقوع النجاسة فيه، والثاني مقدّر مظنون، وهو احتمال سبب آخر. وعلى القاعدة نضيف هذا التغيّر إلى السبب المعلوم عادةً، إضافةً إلى السبب المعلوم لا إلى المقدّر المظنون في أذهاننا، فنقول: إن هذا الماء نجس بسبب تغيّره بالنجاسة التي وقعت فيه. فقد أجمع العلماء على أن الماء – سواء كان كثيرًا أو قليلًا – إذا وقعت فيه نجاسة، وتغيّر أحد أوصافه: لونه أو طعمه أو ريحه، أنه نجس، هذا محل إجماع بين أهل العلم.</w:t>
      </w:r>
    </w:p>
    <w:p>
      <w:pPr>
        <w:bidi/>
        <w:spacing w:after="200" w:line="360"/>
        <w:jc w:val="both"/>
      </w:pPr>
      <w:r>
        <w:rPr>
          <w:rFonts w:ascii="Traditional Arabic" w:cs="Traditional Arabic" w:eastAsia="Traditional Arabic" w:hAnsi="Traditional Arabic"/>
          <w:sz w:val="32"/>
          <w:szCs w:val="32"/>
          <w:rtl/>
        </w:rPr>
        <w:t xml:space="preserve">كذلك من تطبيقات وتفريعات هذه القاعدة: أنه إذا وجد الإنسان في ثوبه بللًا بعد نومه، ولم يتحقق أنه منيّ، وقد تقدّم نومه ملاعبة، من قبلة وضمّ ونحوه – وهذه أسباب المذي – فهذا البلل عندنا له سببان: إما أن يُضاف إلى هذه الأسباب المعلومة، وإما أن يُضاف إلى أسباب أخرى مظنونة. فعلى نص القاعدة فإنه يُضاف إلى السبب المعلوم، فنقول: إن هذه البلّة وهذا البلل مذي، فيغسل جميع الذكر مع الأنثيين – على قول جمع من أهل العلم – ويغسل ما أصابه من الثوب والبدن؛ إضافةً لهذه البلّة إلى السبب المعلوم، الذي هو سبب المذي.</w:t>
      </w:r>
    </w:p>
    <w:p>
      <w:pPr>
        <w:bidi/>
        <w:spacing w:after="200" w:line="360"/>
        <w:jc w:val="both"/>
      </w:pPr>
      <w:r>
        <w:rPr>
          <w:rFonts w:ascii="Traditional Arabic" w:cs="Traditional Arabic" w:eastAsia="Traditional Arabic" w:hAnsi="Traditional Arabic"/>
          <w:sz w:val="32"/>
          <w:szCs w:val="32"/>
          <w:rtl/>
        </w:rPr>
        <w:t xml:space="preserve">كذلك هذه القاعدة تدخل في أحكام وتطبيقات القاضي في القضاء؛ لذا قالوا: من جرح غيره جرحًا غير قاتل، ولم يمت به، ثم مات بعد فترة، فلموته سببان: إما أن يكون بسبب سراية الجرح المعلوم – يعني سرى هذا الجرح، تعفّن هذا الجرح، حتى مات – وإما أن يكون بسبب محتمل مقدّر غير هذا الجرح. وعلى مقتضى هذه القاعدة يُحال موته إلى السبب المعلوم وهو هذا الجرح، فيجب القصاص إن كان عمدًا عدوانًا، أو الدية إن كان خطأً أو شبه عمد. لكن ينبغي أن يقرّر ذلك أهل الطب الثقات؛ أن الموت حصل بسبب سراية الجرح. واليوم تطوّر الطب تطورًا كبيرًا، بحيث يحدد سبب الوفاة: من هذا الجرح أو من غيره، لكن في الزمن السابق احتاجوا إلى هذه القاعدة حسمًا للنزاع، وفصلًا للخصومة.</w:t>
      </w:r>
    </w:p>
    <w:p>
      <w:pPr>
        <w:bidi/>
        <w:spacing w:after="200" w:line="360"/>
        <w:jc w:val="both"/>
      </w:pPr>
      <w:r>
        <w:rPr>
          <w:rFonts w:ascii="Traditional Arabic" w:cs="Traditional Arabic" w:eastAsia="Traditional Arabic" w:hAnsi="Traditional Arabic"/>
          <w:sz w:val="32"/>
          <w:szCs w:val="32"/>
          <w:rtl/>
        </w:rPr>
        <w:t xml:space="preserve">كذلك من تطبيقات هذه القاعدة ما ذكره الفقهاء، قالوا: لو جرح المحرم الصيد جرحًا غير قاتل – والمحرم يحرم عليه الصيد – لكن لو فُرض أن هذا المحرم جرح صيدًا جرحًا غير قاتل، ثم بعد مدة وُجد الصيد ميتًا، وليس به أثر جرح آخر، فعندنا للموت سببان: أحدهما معلوم، وهو الجرح، وإن كان في الأصل غير قاتل، لكن لعله تطوّر؛ لأنه كان السبب الظاهر. وعندنا سبب آخر مظنون: قد يكون مات بسبب آخر. والقاعدة تقتضي إضافة الحكم إلى السبب المعلوم الظاهر، فنقول: إن الظاهر أن الصيد لم يمت إلا بسبب جرح المحرم، فعلى المحرم هنا جزاؤه، وهو مثل هذا الصيد، كما هو معروف في تقريرات الفقهاء في جزاء صيد المحرم.</w:t>
      </w:r>
    </w:p>
    <w:p>
      <w:pPr>
        <w:bidi/>
        <w:spacing w:after="200" w:line="360"/>
        <w:jc w:val="both"/>
      </w:pPr>
      <w:r>
        <w:rPr>
          <w:rFonts w:ascii="Traditional Arabic" w:cs="Traditional Arabic" w:eastAsia="Traditional Arabic" w:hAnsi="Traditional Arabic"/>
          <w:sz w:val="32"/>
          <w:szCs w:val="32"/>
          <w:rtl/>
        </w:rPr>
        <w:t xml:space="preserve">كذلك من مسائل وتطبيقات هذه القاعدة: من وجب عليه حق لغيره، وامتنع من أداء هذا الحق، جاز لصاحب الحق الأخذ من ماله بغير علمه إن كان سبب الحق ظاهرًا. قالوا: كالضيف إذا امتنع أهل البلد من ضيافته، فيجوز له الأخذ منهم بقدر ضيافته يومًا وليلة، ولو بلا إذنهم؛ لأن هذا حقه، ويُحال هذا الأخذ إلى السبب الظاهر وهو الضيافة، فإنه في أخذه لا يُنسب إلى خيانة. كذلك المرأة يجوز لها أن تأخذ من مال زوجها ما يكفيها وولدها بالمعروف، إذا امتنع الزوج من نفقتها، أو لم يعطها ما يكفيها، ويُحال هذا الأخذ إلى الزوجية بينهما، وهو سبب ظاهر يعرفه الناس.</w:t>
      </w:r>
    </w:p>
    <w:p>
      <w:pPr>
        <w:bidi/>
        <w:spacing w:after="200" w:line="360"/>
        <w:jc w:val="both"/>
      </w:pPr>
      <w:r>
        <w:rPr>
          <w:rFonts w:ascii="Traditional Arabic" w:cs="Traditional Arabic" w:eastAsia="Traditional Arabic" w:hAnsi="Traditional Arabic"/>
          <w:sz w:val="32"/>
          <w:szCs w:val="32"/>
          <w:rtl/>
        </w:rPr>
        <w:t xml:space="preserve">ففي هاتين الصورتين حصل أخذ الحق من صاحبه دون إذنه أو دون علمه، وهذا الأخذ له سببان: أحدهما معلوم ظاهر، وهو الضيافة في الأولى، والزوجية في الصورة الثانية، والثاني: قد يكون هذا الأخذ بأسباب أخرى كالسرقة والخيانة ونحوها، وهي أسباب مظنونة. لكن ما دام عندنا سبب ظاهر فإننا نُحيل الحكم إلى السبب المعلوم الظاهر؛ لأن القاعدة تقتضي إحالة الحكم إلى سببه المعلوم، وتنحية السبب المظنون، فنقول: إن الأخذ في الأولى سببه الضيافة، والأخذ في الثانية سببه الزوجية، وعلى هذا فقس.</w:t>
      </w:r>
    </w:p>
    <w:p>
      <w:pPr>
        <w:bidi/>
        <w:spacing w:after="200" w:line="360"/>
        <w:jc w:val="both"/>
      </w:pPr>
      <w:r>
        <w:rPr>
          <w:rFonts w:ascii="Traditional Arabic" w:cs="Traditional Arabic" w:eastAsia="Traditional Arabic" w:hAnsi="Traditional Arabic"/>
          <w:sz w:val="32"/>
          <w:szCs w:val="32"/>
          <w:rtl/>
        </w:rPr>
        <w:t xml:space="preserve">كذلك من المسائل المهمة التي تتبع هذه القاعدة في التفريع: مسائل القسامة. القسامة ما هي؟ هي أيمان مغلّظة يحلفونها، يُقسمون أيمانًا مغلّظة في دعوى قتل معصوم: أن هؤلاء قتلوا هذا الرجل؛ يحلف أولياء الدم خمسين يمينًا أن فلانًا قتل هذا الذي هم أولياء دمه، مع أنهم لم يروا، لوجود سبب ظاهر يمكن أن يُحال عليه سبب القتل.</w:t>
      </w:r>
    </w:p>
    <w:p>
      <w:pPr>
        <w:bidi/>
        <w:spacing w:after="200" w:line="360"/>
        <w:jc w:val="both"/>
      </w:pPr>
      <w:r>
        <w:rPr>
          <w:rFonts w:ascii="Traditional Arabic" w:cs="Traditional Arabic" w:eastAsia="Traditional Arabic" w:hAnsi="Traditional Arabic"/>
          <w:sz w:val="32"/>
          <w:szCs w:val="32"/>
          <w:rtl/>
        </w:rPr>
        <w:t xml:space="preserve">ودليلها: قصة عبد الله بن سهل، أنه خرج هو وعبد الرحمن بن سهل وحويّصة ومحيّصة إلى خيبر، فوُجد عبد الله بن سهل مقتولًا بين النخيل عند اليهود، فاتُّهم اليهود بقتله، فقال النبي صلى الله عليه وسلم لأولياء المقتول: «تحلفون خمسين يمينًا وتستحقون دم صاحبكم؟» قالوا: كيف نحلف ونحن لم نرَ ولم نسمع؟ – لكن هذا السبب ظاهر؛ لما قُتل بين نخيل اليهود اتُّهم اليهود – قال: «فتبرئكم يهود بخمسين يمينًا»، أي تحلف اليهود لكم خمسين يمينًا وتبرأ، قالوا: كيف نقبل أيمان قوم كفار؟ فوداه النبي عليه الصلاة والسلام من عنده.</w:t>
      </w:r>
    </w:p>
    <w:p>
      <w:pPr>
        <w:bidi/>
        <w:spacing w:after="200" w:line="360"/>
        <w:jc w:val="both"/>
      </w:pPr>
      <w:r>
        <w:rPr>
          <w:rFonts w:ascii="Traditional Arabic" w:cs="Traditional Arabic" w:eastAsia="Traditional Arabic" w:hAnsi="Traditional Arabic"/>
          <w:sz w:val="32"/>
          <w:szCs w:val="32"/>
          <w:rtl/>
        </w:rPr>
        <w:t xml:space="preserve">فإذا وُجد قتيل بين قوم منهم من هو عدو له، وهذه العداوة ظاهرة معلومة، فإننا نُحيل هذا القتل إلى هذا السبب، وهو القرينة القوية، بتأييد خمسين يمينًا من أولياء المقتول، وهي موافقة لأصول الشريعة كما ذكر ذلك ابن القيم وغيره، مع أنه قد يكون هناك سبب آخر لموته، لكنها أسباب مظنونة مقدّرة، والسبب القوي هو هذه العداوة بينه وبين أفراد هذه القبيلة، أو هذا الحي الذي وُجد فيه مقتولًا، فأُحيل الحكم عليه.</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2026-10-15T09:49:41.463Z</dcterms:created>
  <dcterms:modified xsi:type="dcterms:W3CDTF">2026-10-15T09:49:41.464Z</dcterms:modified>
</cp:coreProperties>
</file>

<file path=docProps/custom.xml><?xml version="1.0" encoding="utf-8"?>
<Properties xmlns="http://schemas.openxmlformats.org/officeDocument/2006/custom-properties" xmlns:vt="http://schemas.openxmlformats.org/officeDocument/2006/docPropsVTypes"/>
</file>