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24</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ومن القواعد الفقهية المهمة التي تميّز للعبد بين عباداته: أن يعرف قاعدة نصّ عليها الفقهاء، وهي قولهم: «العبادات تتفاضل باعتبار ما يقترن بها من المصالح». وهذا يختلف من شخص إلى شخص، ومن زمان إلى زمان، ومن مكان إلى مكان؛ فالعبادات تتفاضل فيما بينها باقترانها بالمصالح، وهذا هو الحق.</w:t>
      </w:r>
    </w:p>
    <w:p>
      <w:pPr>
        <w:bidi/>
        <w:spacing w:after="200" w:line="360"/>
        <w:jc w:val="both"/>
      </w:pPr>
      <w:r>
        <w:rPr>
          <w:rFonts w:ascii="Traditional Arabic" w:cs="Traditional Arabic" w:eastAsia="Traditional Arabic" w:hAnsi="Traditional Arabic"/>
          <w:sz w:val="32"/>
          <w:szCs w:val="32"/>
          <w:rtl/>
        </w:rPr>
        <w:t xml:space="preserve">وفهم هذه القاعدة يعطي طالب العلم ملكة في التفضيل بين العبادات، وما يصلح له من العبادات؛ فالعبادة الفاضلة قد تكون أحيانًا – في بعض الظروف – مفضولة لهذا الشخص، والمفضولة أحيانًا تتحول إلى فاضلة، بما يحتفّ بها من مصلحة؛ باقتران المصلحة أو عدمها. فالذي ينبغي لطالب العلم الاهتمام به هو النظر في مصلحة أداء هذه العبادة؛ فكل عمل اقترنت به المصلحة فهو الفاضل، وما ضدّه فمفضول. فالنظر في المصالح والمفاسد والآثار المترتبة هو لبّ الشريعة؛ لأن الشريعة ما جاءت إلا بتقرير المصالح وتكميلها، وتعطيل المفاسد وتقليلها، فلا ينبغي إهمال النظر في المصالح.</w:t>
      </w:r>
    </w:p>
    <w:p>
      <w:pPr>
        <w:bidi/>
        <w:spacing w:after="200" w:line="360"/>
        <w:jc w:val="both"/>
      </w:pPr>
      <w:r>
        <w:rPr>
          <w:rFonts w:ascii="Traditional Arabic" w:cs="Traditional Arabic" w:eastAsia="Traditional Arabic" w:hAnsi="Traditional Arabic"/>
          <w:sz w:val="32"/>
          <w:szCs w:val="32"/>
          <w:rtl/>
        </w:rPr>
        <w:t xml:space="preserve">وهذه القاعدة أدلتها كثيرة جدًا، نذكر طرفًا منها:</w:t>
      </w:r>
    </w:p>
    <w:p>
      <w:pPr>
        <w:bidi/>
        <w:spacing w:after="200" w:line="360"/>
        <w:jc w:val="both"/>
      </w:pPr>
      <w:r>
        <w:rPr>
          <w:rFonts w:ascii="Traditional Arabic" w:cs="Traditional Arabic" w:eastAsia="Traditional Arabic" w:hAnsi="Traditional Arabic"/>
          <w:sz w:val="32"/>
          <w:szCs w:val="32"/>
          <w:rtl/>
        </w:rPr>
        <w:t xml:space="preserve">فمن ذلك قوله تعالى: ﴿وَلَا تَسُبُّوا الَّذِينَ يَدْعُونَ مِنْ دُونِ اللَّهِ فَيَسُبُّوا اللَّهَ عَدْوًا بِغَيْرِ عِلْمٍ﴾؛ فلا شك أن سبّ آلهة المشركين – سبّها وتنقّصها وذمّها – عمل فاضل، وترك سبّها عمل مفضول، لكن لما اقترنت بالسبّ مفسدة عظمى، وهي سبّ المشركين لله تعالى، وسكوتنا عن سبّ آلهتهم فيه سكوتهم عن سبّ ربنا جل وعلا، انقلبت المسألة؛ فصار الفاضل مفضولًا، والمفضول فاضلًا؛ أي أن السبّ تحوّل من كونه فاضلًا إلى كونه مفضولًا لوجود المفسدة، وكان ترك سبّ آلهتهم تحوّل من كونه مفضولًا إلى كونه فاضلًا لوجود المصلحة، وهي سكوتهم عن سبّ ربنا جل وعلا. فالفاضل لما اقترنت به مفسدة صار مفضولًا، والمفضول لما اقترنت به المصلحة صار فاضلًا، وهذا كثير في الشريعة.</w:t>
      </w:r>
    </w:p>
    <w:p>
      <w:pPr>
        <w:bidi/>
        <w:spacing w:after="200" w:line="360"/>
        <w:jc w:val="both"/>
      </w:pPr>
      <w:r>
        <w:rPr>
          <w:rFonts w:ascii="Traditional Arabic" w:cs="Traditional Arabic" w:eastAsia="Traditional Arabic" w:hAnsi="Traditional Arabic"/>
          <w:sz w:val="32"/>
          <w:szCs w:val="32"/>
          <w:rtl/>
        </w:rPr>
        <w:t xml:space="preserve">ومن الأدلة على هذا الأصل من السنة: حديث أبي مسعود الأنصاري رضي الله عنه قال: قال النبي صلى الله عليه وسلم: «يؤمّ القوم أقرؤهم لكتاب الله، فإن كانوا في القراءة سواء فأعلمهم بالسنة، فإن كانوا في السنة سواء فأقدمهم هجرة، فإن كانوا في الهجرة سواء فأقدمهم سِلْمًا، ولا يؤمّنّ الرجلُ الرجلَ في سلطانه، ولا يقعد في بيته على تكرمته إلا بإذنه». فذكر النبي صلى الله عليه وسلم الأفضل في الإمامة، ثم بيّن أن صاحب المرتبة والسلطان – كالإمام الأعظم، وأمير الحرب، وأئمة المساجد – مقدَّمون على غيرهم، وإن كان غيرهم أفضل منهم. فالمفضول في الإمامة إن كان هو صاحب السلطة، أو صاحب الدار، أو أمير الحرب، أو إمام المسجد، فيكون في هذه الحالة فاضلًا. والمصلحة التي جعلت المفضول يكون فاضلًا هنا هي جمع الكلمة للسلطان، وعدم الافتئات عليه، والتقدّم بين يديه إلا بإذنه؛ فاقتران هذه المصلحة بالمفضول في الإمامة جعله فاضلًا، وتخلّفها عن الفاضل جعله مفضولًا.</w:t>
      </w:r>
    </w:p>
    <w:p>
      <w:pPr>
        <w:bidi/>
        <w:spacing w:after="200" w:line="360"/>
        <w:jc w:val="both"/>
      </w:pPr>
      <w:r>
        <w:rPr>
          <w:rFonts w:ascii="Traditional Arabic" w:cs="Traditional Arabic" w:eastAsia="Traditional Arabic" w:hAnsi="Traditional Arabic"/>
          <w:sz w:val="32"/>
          <w:szCs w:val="32"/>
          <w:rtl/>
        </w:rPr>
        <w:t xml:space="preserve">كذلك من أدلة هذه القاعدة – أن العبادات تتفاضل بحسب ما يقترن بها من المصالح، وليست العبادة دائمًا هي الفاضلة؛ فالعبادة تُفعل في هذا الزمان أو في هذا المكان أو لهذا الشخص، فقد يقترن بها ما يجعلها مفضولة وغيرها أفضل منها – ما جاء في الصحيح من حديث عروة بن الزبير عن عائشة رضي الله عنها أن النبي صلى الله عليه وسلم قال لها: «يا عائشة، لولا أن قومك حديثُ عهد بجاهلية لأمرتُ بالبيت فهُدم، فأدخلت فيه ما أُخرج منه، وألزقته بالأرض، وجعلت له بابين: بابًا شرقيًا وبابًا غربيًا، فبلغت به أساس إبراهيم»، متفق عليه.</w:t>
      </w:r>
    </w:p>
    <w:p>
      <w:pPr>
        <w:bidi/>
        <w:spacing w:after="200" w:line="360"/>
        <w:jc w:val="both"/>
      </w:pPr>
      <w:r>
        <w:rPr>
          <w:rFonts w:ascii="Traditional Arabic" w:cs="Traditional Arabic" w:eastAsia="Traditional Arabic" w:hAnsi="Traditional Arabic"/>
          <w:sz w:val="32"/>
          <w:szCs w:val="32"/>
          <w:rtl/>
        </w:rPr>
        <w:t xml:space="preserve">فالنبي عليه الصلاة والسلام ذكر أن البيت الآن في عهده ليس مبنيًا على قواعد إبراهيم تمامًا، وهذا الحديث نبّهنا على الأمر الفاضل، وهو بناء البيت على هذه الصفة المذكورة، والأمر المفضول الأقل منه هو بقاؤه على هذه الصفة التي قصرت قريش فيها النفقة، فجعلوا ما يسمى اليوم «حِجر إسماعيل» علامة على حدود البيت؛ فالبيت كان متصلًا إلى هذا الحِجر الموجود اليوم، كل هذا كعبة، لكن لما قصرت بهم النفقة بنوا ما استطاعوا، ثم جعلوا هذا الحِجر علامة على حدود الكعبة.</w:t>
      </w:r>
    </w:p>
    <w:p>
      <w:pPr>
        <w:bidi/>
        <w:spacing w:after="200" w:line="360"/>
        <w:jc w:val="both"/>
      </w:pPr>
      <w:r>
        <w:rPr>
          <w:rFonts w:ascii="Traditional Arabic" w:cs="Traditional Arabic" w:eastAsia="Traditional Arabic" w:hAnsi="Traditional Arabic"/>
          <w:sz w:val="32"/>
          <w:szCs w:val="32"/>
          <w:rtl/>
        </w:rPr>
        <w:t xml:space="preserve">فالنبي عليه الصلاة والسلام قال: لولا أن الناس اليوم – قومك – حديثو عهد بالجاهلية، أسلموا حديثًا، لهدمت البيت؛ لأمرت بالبيت فهُدم، ثم بُني على قواعد إبراهيم، يعني أُدخل الحِجر كاملًا. لكن هذا الأمر المفضول – وهو ترك البيت على حاله – صار فاضلًا، والأفضل تركه؛ لاقتران المصلحة الشرعية به، وهي ألّا يفتتن الناس؛ كيف النبي عليه الصلاة والسلام الآن فتح مكة، ثم مباشرة توجّه إلى البيت فهدمه! هذا يزعزع الإيمان في الناس وينفّرهم، وهم يعظّمون البيت، ولا يعرفون المصلحة، وأن البيت كان كذا وكان كذا، والمراد أنه على أساس إبراهيم. فالنبي عليه الصلاة والسلام حافظ على المصلحة العامة للإسلام والدعوة الإسلامية، واقترن ببقاء البيت على هذه الصفة مصلحة، فجعلت هذا الأمر المفضول فاضلًا؛ لذلك أبقاه النبي عليه الصلاة والسلام على ما هو عليه، عملًا بالأمر الفاضل الذي كان مفضولًا لولا اقتران هذه المصلحة.</w:t>
      </w:r>
    </w:p>
    <w:p>
      <w:pPr>
        <w:bidi/>
        <w:spacing w:after="200" w:line="360"/>
        <w:jc w:val="both"/>
      </w:pPr>
      <w:r>
        <w:rPr>
          <w:rFonts w:ascii="Traditional Arabic" w:cs="Traditional Arabic" w:eastAsia="Traditional Arabic" w:hAnsi="Traditional Arabic"/>
          <w:sz w:val="32"/>
          <w:szCs w:val="32"/>
          <w:rtl/>
        </w:rPr>
        <w:t xml:space="preserve">وهذه قاعدة جيدة في الأحكام والتطبيقات والدعوة إلى الله عز وجل: أن ينظر الإنسان إلى ما يترتب على هذا الأمر من مصلحة، وما يترتب عليه من مفسدة، ويوازن بين الأمور؛ إذا كانت المصلحة غالبة أمر به، وإن كان يترتب عليه مفسدة امتنع، كما امتنع النبي عليه الصلاة والسلام عن هدم الكعبة وبنائها على أساس إبراهيم؛ خشية المفسدة المترتبة.</w:t>
      </w:r>
    </w:p>
    <w:p>
      <w:pPr>
        <w:bidi/>
        <w:spacing w:after="200" w:line="360"/>
        <w:jc w:val="both"/>
      </w:pPr>
      <w:r>
        <w:rPr>
          <w:rFonts w:ascii="Traditional Arabic" w:cs="Traditional Arabic" w:eastAsia="Traditional Arabic" w:hAnsi="Traditional Arabic"/>
          <w:sz w:val="32"/>
          <w:szCs w:val="32"/>
          <w:rtl/>
        </w:rPr>
        <w:t xml:space="preserve">كذلك من الأدلة على هذه القاعدة – أن العبادات تتفاضل بحسب ما يقترن بها من المصالح – قوله عز وجل: ﴿حُرِّمَتْ عَلَيْكُمُ الْمَيْتَةُ وَالدَّمُ وَلَحْمُ الْخِنْزِيرِ﴾ إلى آخر الآية، فقال الله سبحانه: ﴿فَمَنِ اضْطُرَّ فِي مَخْمَصَةٍ غَيْرَ مُتَجَانِفٍ لِإِثْمٍ فَإِنَّ اللَّهَ غَفُورٌ رَحِيمٌ﴾. فالأكل من الميتة مفضول، وتركها أمر واجب فاضل، ولا شك في ذلك، لكن إذا اضطر الإنسان إلى أكلها لعدم وجود غيرها، وخاف الهلاك على نفسه، فإن الأمر المفضول سابقًا – قبل الضرورة – يتحول إلى أمر فاضل؛ لاقتران المصلحة الشرعية به، وهي حفظ النفس، بل أوجب جمع من العلماء الأكل منها في هذه الحالة، وهو الصواب بلا ريب.</w:t>
      </w:r>
    </w:p>
    <w:p>
      <w:pPr>
        <w:bidi/>
        <w:spacing w:after="200" w:line="360"/>
        <w:jc w:val="both"/>
      </w:pPr>
      <w:r>
        <w:rPr>
          <w:rFonts w:ascii="Traditional Arabic" w:cs="Traditional Arabic" w:eastAsia="Traditional Arabic" w:hAnsi="Traditional Arabic"/>
          <w:sz w:val="32"/>
          <w:szCs w:val="32"/>
          <w:rtl/>
        </w:rPr>
        <w:t xml:space="preserve">فنحن نجد في شريعتنا – ولله الحمد والمنة – أن بعض المحرمات تحلّ للضرورة، كشرب الخمر لدفع غصّة ونحو ذلك؛ رعايةً للمصلحة الشرعية المترتبة على المحرم. لكن ما هي الضرورة؟ فبعض الناس يفعل المحرم ويزعم أنه مضطر؛ فتجده يقترض بالربا، لماذا؟ قال: لأني أريد أن أشتري بيتًا. نقول: البيت ليس ضرورة؛ فالإنسان ممكن أن يعيش كل حياته مستأجرًا. الضرورة يا إخوان هي ما ترتب عليه هلاك نفس أو هلاك عضو، هذا هو الضابط عند الفقهاء. فليس من الضرورة أن يقترض الإنسان قرضًا ربويًا ليسافر، قال: أريد أن أسافر أنا وأبنائي، هذا ليس ضرورة. فالشاهد أن المقصود بالضرورة: ما يترتب عليه هلاك نفسك إذا لم تفعل هذا؛ إذا لم تأخذ هذا المال الربوي هلكت نفسك، أو أحد أبنائك مات، أو هلك أحد أعضائه، فهنا نقول: ﴿فَمَنِ اضْطُرَّ فِي مَخْمَصَةٍ غَيْرَ مُتَجَانِفٍ لِإِثْمٍ فَإِنَّ اللَّهَ غَفُورٌ رَحِيمٌ﴾.</w:t>
      </w:r>
    </w:p>
    <w:p>
      <w:pPr>
        <w:bidi/>
        <w:spacing w:after="200" w:line="360"/>
        <w:jc w:val="both"/>
      </w:pPr>
      <w:r>
        <w:rPr>
          <w:rFonts w:ascii="Traditional Arabic" w:cs="Traditional Arabic" w:eastAsia="Traditional Arabic" w:hAnsi="Traditional Arabic"/>
          <w:sz w:val="32"/>
          <w:szCs w:val="32"/>
          <w:rtl/>
        </w:rPr>
        <w:t xml:space="preserve">كذلك من الأدلة أيضًا على هذا الأصل العظيم – وأن العبادات تتفاضل بحسب ما يقترن بها من المصالح – ما رواه أصحاب السنن أن رجلًا سلّم على النبي صلى الله عليه وسلم وهو يبول، فلم يردّ عليه السلام حتى فرغ، ثم تيمّم، ثم ردّ عليه السلام. فهنا المعلوم أن ردّ السلام أمر فاضل، وتركه مفضول، لكن هذا المفضول في هذه الحال – في حال قضاء الحاجة – تحوّل إلى فاضل؛ لاقتران المصلحة، وهي تنزيه ذكر الله تعالى أن يقال في الخلاء، والردّ تحوّل من أمر فاضل واجب إلى مفضول؛ بسبب تخلّف المصلحة ووجود المفسدة؛ لذلك النبي عليه الصلاة والسلام لم يردّ عليه السلام وهو في هذه الحال. وجاء في بعض ألفاظ الحديث: «إذا رأيتني على مثل هذه الحال فلا تسلّم عليّ؛ فإنك إن فعلت لم أردّ عليك».</w:t>
      </w:r>
    </w:p>
    <w:p>
      <w:pPr>
        <w:bidi/>
        <w:spacing w:after="200" w:line="360"/>
        <w:jc w:val="both"/>
      </w:pPr>
      <w:r>
        <w:rPr>
          <w:rFonts w:ascii="Traditional Arabic" w:cs="Traditional Arabic" w:eastAsia="Traditional Arabic" w:hAnsi="Traditional Arabic"/>
          <w:sz w:val="32"/>
          <w:szCs w:val="32"/>
          <w:rtl/>
        </w:rPr>
        <w:t xml:space="preserve">ومن الأدلة أيضًا على هذه القاعدة – العبادات تتفاضل بحسب ما يقترن بها من المصالح – النهي عن الصلاة في أوقات النهي، تطوّعًا لا سبب له؛ فإن صلاة التطوع فيها أجر عظيم وثواب جزيل، قد أثبتت الأدلة أنها من الأمور الفاضلة، لكن نهانا النبي عليه الصلاة والسلام أن نتطوّع في أوقات النهي: بعد الفجر، هذا الوقت الأول، أو عند طلوع الشمس أول ما تطلع حتى ترتفع، هذا الوقت الثاني، وعندما تكون الشمس في كبد السماء حين يقوم قائم الظهيرة – ويقدَّر اليوم قبل الظهر بربع ساعة – وبعد صلاة العصر، هذا وقت نهي. نهانا النبي عليه الصلاة والسلام أن نتطوّع فيها؛ سدًّا لذريعة مشابهة المشركين في سجودهم للشمس عند طلوعها وعند غروبها. فهذه المصلحة – وهي عدم مشابهة المشركين – جعلت الأمر الفاضل، الذي هو التطوع بالصلاة، أمرًا مفضولًا، وترك التطوع – الذي هو المفضول – جعلته أمرًا فاضلًا، وهو الأفضل. فانظر كيف أدّى اقتران المصلحة الشرعية إلى جعل المفضول فاضلًا، والفاضل مفضولًا.</w:t>
      </w:r>
    </w:p>
    <w:p>
      <w:pPr>
        <w:bidi/>
        <w:spacing w:after="200" w:line="360"/>
        <w:jc w:val="both"/>
      </w:pPr>
      <w:r>
        <w:rPr>
          <w:rFonts w:ascii="Traditional Arabic" w:cs="Traditional Arabic" w:eastAsia="Traditional Arabic" w:hAnsi="Traditional Arabic"/>
          <w:sz w:val="32"/>
          <w:szCs w:val="32"/>
          <w:rtl/>
        </w:rPr>
        <w:t xml:space="preserve">وهذا يدلنا على أن الشريعة الإسلامية عندما تأمر بأوامر أو تنهى عن نواهٍ ليست على طريقة واحدة؛ أنه لا بد أن يُفعل الأمر في كل حالاته مهما ترتب عليه، ولا بد أن يُجتنب النهي في كل الحالات مهما ترتب عليه، لا، بل الشريعة راعت المصلحة في ذلك، والمصلحة المقصود بها ليست التشهّي، بل هي المصلحة الشرعية؛ فإن أكل الميتة محرّم، هذا هو الأصل، لكن راعت الشريعة حال المضطر فجعلت الأكل من الميتة واجبًا عليه، ومن ترك الأكل من الميتة وهو مضطر، فعند الأئمة الأربعة أنه آثم بهذا؛ لأنه ترك شيئًا أُحلّ له.</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2026-10-15T09:49:41.640Z</dcterms:created>
  <dcterms:modified xsi:type="dcterms:W3CDTF">2026-10-15T09:49:41.640Z</dcterms:modified>
</cp:coreProperties>
</file>

<file path=docProps/custom.xml><?xml version="1.0" encoding="utf-8"?>
<Properties xmlns="http://schemas.openxmlformats.org/officeDocument/2006/custom-properties" xmlns:vt="http://schemas.openxmlformats.org/officeDocument/2006/docPropsVTypes"/>
</file>