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27</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الفقهية المقرَّرة، والتي تفتح للإنسان مجال تحديد العبادة من عدمها: هل هذه عبادة يصح للناس أن يتعبّدوا الله بها، أو أنها لا تصلح أن تكون عبادة وطريقًا يُتقرّب به إلى الله عز وجل؟ لا شك أن العبادة هي ما ثبت بدليل شرعي من الكتاب والسنة، فليس لنا سبيل لمعرفة العبادات إلا عن طريق الوحي، عن طريق ما قاله الله ورسوله؛ لذا كانت هذه القاعدة: «كل فعل توفّر سببه على عهد النبي صلى الله عليه وسلم ولم يفعله، فالمشروع تركه».</w:t>
      </w:r>
    </w:p>
    <w:p>
      <w:pPr>
        <w:bidi/>
        <w:spacing w:after="200" w:line="360"/>
        <w:jc w:val="both"/>
      </w:pPr>
      <w:r>
        <w:rPr>
          <w:rFonts w:ascii="Traditional Arabic" w:cs="Traditional Arabic" w:eastAsia="Traditional Arabic" w:hAnsi="Traditional Arabic"/>
          <w:sz w:val="32"/>
          <w:szCs w:val="32"/>
          <w:rtl/>
        </w:rPr>
        <w:t xml:space="preserve">كل فعل توفّر السبب على عهد النبي عليه الصلاة والسلام لفعله، لكن النبي عليه الصلاة والسلام أعرض عنه ولم يفعله، هذا يقودنا إلى أن هذا الفعل المشروع تركه؛ فأفعال النبي عليه الصلاة والسلام يؤخذ منها تشريع إذا كان المراد بها التشريع، وكذلك تركه يؤخذ منه تشريع أيضًا. وهذه القاعدة في تركه، وتفيدنا أن الأفعال التي تيسّر فعلها للنبي صلى الله عليه وسلم، وتركها باختياره، أننا نتعبّد الله بتركها ولا نفعلها؛ لأنه لو كانت مشروعة لما تركها النبي صلى الله عليه وسلم، فلما تركها دلّ على أنها ليست من الشريعة في شيء؛ فإنه صلى الله عليه وسلم قد بلّغ البلاغ المبين، وأتمّ الله جل وعلا به الدين، فما ترك خيرًا إلا دلّنا عليه، ولا شرًّا إلا حذّرنا منه.</w:t>
      </w:r>
    </w:p>
    <w:p>
      <w:pPr>
        <w:bidi/>
        <w:spacing w:after="200" w:line="360"/>
        <w:jc w:val="both"/>
      </w:pPr>
      <w:r>
        <w:rPr>
          <w:rFonts w:ascii="Traditional Arabic" w:cs="Traditional Arabic" w:eastAsia="Traditional Arabic" w:hAnsi="Traditional Arabic"/>
          <w:sz w:val="32"/>
          <w:szCs w:val="32"/>
          <w:rtl/>
        </w:rPr>
        <w:t xml:space="preserve">فتركه عليه الصلاة والسلام تشريع، كما أن فعله تشريع أيضًا؛ فهو قدوتنا وإمامنا عليه الصلاة والسلام، كما قال الله عز وجل: ﴿لَقَدْ كَانَ لَكُمْ فِي رَسُولِ اللَّهِ أُسْوَةٌ حَسَنَةٌ﴾، أي هو قدوتنا في فعله وفي تركه؛ فكما أننا نتأسّى به في الأفعال، فكذلك يجب علينا أن نتأسّى به في الترك، وخاصة الفعل الذي كان قادرًا أن يفعله، ولم يمنعه من فعله شيء، ومع ذلك تركه قصدًا وعمدًا، فيدل ذلك على أن المشروع تركه. هذه هي خلاصة هذه القاعدة.</w:t>
      </w:r>
    </w:p>
    <w:p>
      <w:pPr>
        <w:bidi/>
        <w:spacing w:after="200" w:line="360"/>
        <w:jc w:val="both"/>
      </w:pPr>
      <w:r>
        <w:rPr>
          <w:rFonts w:ascii="Traditional Arabic" w:cs="Traditional Arabic" w:eastAsia="Traditional Arabic" w:hAnsi="Traditional Arabic"/>
          <w:sz w:val="32"/>
          <w:szCs w:val="32"/>
          <w:rtl/>
        </w:rPr>
        <w:t xml:space="preserve">أما فروع هذه القاعدة فهي كثيرة جدًا، لكن نذكر منها ما يدل على باقيها:</w:t>
      </w:r>
    </w:p>
    <w:p>
      <w:pPr>
        <w:bidi/>
        <w:spacing w:after="200" w:line="360"/>
        <w:jc w:val="both"/>
      </w:pPr>
      <w:r>
        <w:rPr>
          <w:rFonts w:ascii="Traditional Arabic" w:cs="Traditional Arabic" w:eastAsia="Traditional Arabic" w:hAnsi="Traditional Arabic"/>
          <w:sz w:val="32"/>
          <w:szCs w:val="32"/>
          <w:rtl/>
        </w:rPr>
        <w:t xml:space="preserve">منها: أن الطواف حول البيت، حول الكعبة، مشروع وعبادة وقربة من أعظم القربات. فلو قال إنسان: أنا أريد أن أطوف على المسجد النبوي لأن فيه قبره الشريف عليه الصلاة والسلام، أريد أن أطوف على القبة، على المسجد النبوي، على ما فيه من حجرة النبي صلى الله عليه وسلم وبيته الذي كان ضمن المسجد، فأنا أريد أن أطوف عليه وأتعبّد الله عز وجل. نقول: إن هذا الطواف غير مشروع، وعبادة باطلة؛ إذ لو كان عبادة لفعله عليه الصلاة والسلام، أو لقال للصحابة: طوفوا حول المسجد، ولبيّن لهم ذلك؛ لأن النبي عليه الصلاة والسلام واجبه التبليغ والبيان، فلو كان هذا الفعل عبادة لفعله عليه الصلاة والسلام. فلما لم يطف النبي عليه الصلاة والسلام على المسجد النبوي دلّ على أنه ليس بمشروع، بل هو بدعة داخلة تحت قوله عليه الصلاة والسلام: «من أحدث في أمرنا هذا ما ليس منه فهو ردّ»، متفق عليه.</w:t>
      </w:r>
    </w:p>
    <w:p>
      <w:pPr>
        <w:bidi/>
        <w:spacing w:after="200" w:line="360"/>
        <w:jc w:val="both"/>
      </w:pPr>
      <w:r>
        <w:rPr>
          <w:rFonts w:ascii="Traditional Arabic" w:cs="Traditional Arabic" w:eastAsia="Traditional Arabic" w:hAnsi="Traditional Arabic"/>
          <w:sz w:val="32"/>
          <w:szCs w:val="32"/>
          <w:rtl/>
        </w:rPr>
        <w:t xml:space="preserve">كذلك من الأشياء التي وُجدت في عهد النبي عليه الصلاة والسلام، ونجد أن النبي عليه الصلاة والسلام لم يفعلها: أن يذكر النبي عليه الصلاة والسلام بالصوت المرتفع، ويردّد الصحابة خلفه بصوت واحد. هذا فعل توفّر سببه على عهد النبي عليه الصلاة والسلام؛ فقد كانت الجماعة للصلاة تُقام في عهده، وكانوا يسلّمون وينتظرون قيامه، وكانوا يذكرون الله بعد الصلاة الذكر المشروع بعد الصلاة، ولم يُنقل عنه عليه الصلاة والسلام أنه أمرهم بالاجتماع في الذكر بلفظ واحد؛ يعني يردّدون: «أستغفر الله»، ويردّد المسجد كله: «أستغفر الله»، «اللهم أنت السلام ومنك السلام»، فيردّدون كلهم في ذلك بصوت واحد. لم يفعله النبي عليه الصلاة والسلام مع أن هذا الفعل توفّر سببه بوجودهم حوله، فلو كان مشروعًا ومأمورًا به لفعله النبي عليه الصلاة والسلام، فلما لم يفعله دلّ على أن المشروع هو تركه؛ إذ لو كان مشروعًا لفعله، فلما لم يفعله دلّ على أنه ليس بعبادة. وهكذا.</w:t>
      </w:r>
    </w:p>
    <w:p>
      <w:pPr>
        <w:bidi/>
        <w:spacing w:after="200" w:line="360"/>
        <w:jc w:val="both"/>
      </w:pPr>
      <w:r>
        <w:rPr>
          <w:rFonts w:ascii="Traditional Arabic" w:cs="Traditional Arabic" w:eastAsia="Traditional Arabic" w:hAnsi="Traditional Arabic"/>
          <w:sz w:val="32"/>
          <w:szCs w:val="32"/>
          <w:rtl/>
        </w:rPr>
        <w:t xml:space="preserve">كذلك اعتياد بعض الألفاظ عند بعض الأذكار، ولم يفعله النبي عليه الصلاة والسلام مع أن داعي هذا الذكر موجود في عهده عليه الصلاة والسلام، فلما لم يفعله دلّ على أنه غير مشروع. مثلًا: نسمع بعض المأمومين إذا قرأ الإمام الفاتحة، فوصل إلى قول الله تعالى: ﴿إِيَّاكَ نَعْبُدُ وَإِيَّاكَ نَسْتَعِينُ﴾، قالوا: «استعنّا بالله»، أو «بالله نستعين». فهذا الذي يقوله العبد في صلاته لم يأمر به النبي عليه الصلاة والسلام، وقد توفّر سببه؛ لأن النبي عليه الصلاة والسلام كان يقرأ الفاتحة والصحابة يسمعون منه، والدواعي لذلك متوفرة: أن يقول لهم: قولوا: استعنّا بالله، لو كان مشروعًا، أو أن يسمع منهم أن يقولوا: استعنّا بالله عند ﴿إِيَّاكَ نَعْبُدُ وَإِيَّاكَ نَسْتَعِينُ﴾ فيقرّهم. فلما لم يفعله عليه الصلاة والسلام، ولم يأمر به الصحابة أن يفعلوه، دلّ على أنه غير مشروع، بل المشروع تركه؛ لأنه لو كان سنة لأمر به، أو فعله، أو أقرّ من فعله.</w:t>
      </w:r>
    </w:p>
    <w:p>
      <w:pPr>
        <w:bidi/>
        <w:spacing w:after="200" w:line="360"/>
        <w:jc w:val="both"/>
      </w:pPr>
      <w:r>
        <w:rPr>
          <w:rFonts w:ascii="Traditional Arabic" w:cs="Traditional Arabic" w:eastAsia="Traditional Arabic" w:hAnsi="Traditional Arabic"/>
          <w:sz w:val="32"/>
          <w:szCs w:val="32"/>
          <w:rtl/>
        </w:rPr>
        <w:t xml:space="preserve">كذلك الاحتفال بمولده عليه الصلاة والسلام؛ كأن يُقام مولد، وتوضع زينة، ويجتمع الناس، ويأكلون الطعام، ويحتفلون كأنه عيد. هل فعله النبي عليه الصلاة والسلام؟ هل أُثر عنه، أو في القرن الأول، أو القرن الثاني، أو القرن الثالث، أن أحدًا فعل هذا؟ مع أن سبب فعله موجود؛ فإن النبي عليه الصلاة والسلام يعرف مولده، ويعرف الصحابة العام الذي وُلد فيه، والشهر الذي وُلد فيه، وإن كانوا مختلفين – خلافًا كثيرًا عند أهل السير – في تحديد اليوم: هل هو الثاني عشر من ربيع الأول، أو التاسع، أو غيره. لو كان هذا مشروعًا – يُشرع للمسلمين أن يجتمعوا في يوم مولده، ويقيموا الموالد، ويقيموا الأطعمة، أو يجتمعوا على ذكر معيّن أو صلاة معيّنة – لفعله النبي عليه الصلاة والسلام ولو مرة واحدة بعد النبوة، وهو قد مكث نبيًّا رسولًا عليه الصلاة والسلام ثلاثًا وعشرين سنة. فلما لم يفعله، ولم يأمر الصحابة أن يفعلوه، دلّ على أن المشروع والعبادة أن تترك ذلك؛ لو كان هذا القول سنة، أو هذا الفعل سنة، لأمر به أو فعله، أو فعله الصحابة، وهم أسبق الناس إلى الخير، لو كان هذا الفعل خيرًا ما سبق أحدٌ الصحابةَ في ذلك.</w:t>
      </w:r>
    </w:p>
    <w:p>
      <w:pPr>
        <w:bidi/>
        <w:spacing w:after="200" w:line="360"/>
        <w:jc w:val="both"/>
      </w:pPr>
      <w:r>
        <w:rPr>
          <w:rFonts w:ascii="Traditional Arabic" w:cs="Traditional Arabic" w:eastAsia="Traditional Arabic" w:hAnsi="Traditional Arabic"/>
          <w:sz w:val="32"/>
          <w:szCs w:val="32"/>
          <w:rtl/>
        </w:rPr>
        <w:t xml:space="preserve">فهذه القاعدة بهذا الضابط يتضح منها أن الفعل إذا جاء عن النبي عليه الصلاة والسلام تركه، والحرص على تركه، ولم يفعله، دلّ على أن الترك مشروع، وأنه تركه النبي عليه الصلاة والسلام لأنه لم يأته وحي بهذا الفعل، ﴿وَمَا كَانَ رَبُّكَ نَسِيًّا﴾.</w:t>
      </w:r>
    </w:p>
    <w:p>
      <w:pPr>
        <w:bidi/>
        <w:spacing w:after="200" w:line="360"/>
        <w:jc w:val="both"/>
      </w:pPr>
      <w:r>
        <w:rPr>
          <w:rFonts w:ascii="Traditional Arabic" w:cs="Traditional Arabic" w:eastAsia="Traditional Arabic" w:hAnsi="Traditional Arabic"/>
          <w:sz w:val="32"/>
          <w:szCs w:val="32"/>
          <w:rtl/>
        </w:rPr>
        <w:t xml:space="preserve">حتى قال الإمام الشاطبي رحمه الله تعالى: إن النبي صلى الله عليه وسلم كان مبيّنًا بقوله وفعله، وقال الشاطبي رحمه الله: «كان الصحابة رضي الله عنهم ربما توقّفوا عن الفعل الذي أباحه لهم النبي عليه الصلاة والسلام ولم يفعله»، حرصًا منهم على أن يكونوا متّبعين لفعله، مع أنه أباح لهم الفعل، فلما رأوا تركه لهذا الفعل توقّفوا، «وإن تقدّم لهم بقوله الإباحة»، قال: «لاحتمال أن يكون تركه أرجح، ويستدلون على ذلك بتركه عليه الصلاة والسلام له، فإذا فعله تبعوه في فعله»، قال: «كما في التحلّل من العمرة، والإفطار في السفر». فالصحابة رضي الله عنهم حتى لو أباح لهم النبي عليه الصلاة والسلام أمرًا من الأمور، هم ينظرون ويرمقون فعله عليه الصلاة والسلام، فيعتدّون بتركه للأمر، ويحرصون على أن يكونوا متّبعين للنبي عليه الصلاة والسلام في الترك، كما أنهم يحرصون على اتباعه في الفعل؛ فتركه عليه الصلاة والسلام تشريع.</w:t>
      </w:r>
    </w:p>
    <w:p>
      <w:pPr>
        <w:bidi/>
        <w:spacing w:after="200" w:line="360"/>
        <w:jc w:val="both"/>
      </w:pPr>
      <w:r>
        <w:rPr>
          <w:rFonts w:ascii="Traditional Arabic" w:cs="Traditional Arabic" w:eastAsia="Traditional Arabic" w:hAnsi="Traditional Arabic"/>
          <w:sz w:val="32"/>
          <w:szCs w:val="32"/>
          <w:rtl/>
        </w:rPr>
        <w:t xml:space="preserve">قال الإمام الشاطبي رحمه الله في «الموافقات»: إن المطلوب من الأمة فعله يبيّنه النبي عليه الصلاة والسلام في كثير من الأحوال بالفعل، ويفعله ليتبيّن الناس؛ ولذلك قال في الحج: «خذوا عني مناسككم»، وكان يرمي أمامهم الجمرة، ويجمع بين المغرب والعشاء في مزدلفة، ويقف بعرفة، ويقول للناس: «خذوا عني مناسككم»؛ لأن فعله عليه الصلاة والسلام تشريع. وكذلك ما تركه النبي عليه الصلاة والسلام في الحج من بعض الأمور المتروكة، يكون أيضًا المشروع للمؤمن أن يبتعد عنها؛ لأن تركه عليه الصلاة والسلام أيضًا تشريع.</w:t>
      </w:r>
    </w:p>
    <w:p>
      <w:pPr>
        <w:bidi/>
        <w:spacing w:after="200" w:line="360"/>
        <w:jc w:val="both"/>
      </w:pPr>
      <w:r>
        <w:rPr>
          <w:rFonts w:ascii="Traditional Arabic" w:cs="Traditional Arabic" w:eastAsia="Traditional Arabic" w:hAnsi="Traditional Arabic"/>
          <w:sz w:val="32"/>
          <w:szCs w:val="32"/>
          <w:rtl/>
        </w:rPr>
        <w:t xml:space="preserve">وقال أيضًا في موضع آخر: إن ما تركه النبي عليه الصلاة والسلام فهذا في الأصل أنه غير مأذون فيه، قال: «وما تركه مطلقًا فهذا ظاهر أنه قصد ترك الفعل، فلا يكون مشروعًا». فما تركه النبي عليه الصلاة والسلام – مع توفّر أسباب فعل هذا الفعل – لكن النبي عليه الصلاة والسلام صرف عنه وتركه، وتركه مطلقًا، ولم يشر إليه بقول، أو يقرّ صحابيًا على فعله، أو يمدح هذا الفعل، فهو تركه، وتركه مطلقًا، قال: فهذا دالّ على أنه قصد ترك الفعل.</w:t>
      </w:r>
    </w:p>
    <w:p>
      <w:pPr>
        <w:bidi/>
        <w:spacing w:after="200" w:line="360"/>
        <w:jc w:val="both"/>
      </w:pPr>
      <w:r>
        <w:rPr>
          <w:rFonts w:ascii="Traditional Arabic" w:cs="Traditional Arabic" w:eastAsia="Traditional Arabic" w:hAnsi="Traditional Arabic"/>
          <w:sz w:val="32"/>
          <w:szCs w:val="32"/>
          <w:rtl/>
        </w:rPr>
        <w:t xml:space="preserve">نسأل الله عز وجل بأسمائه الحسنى وصفاته العلى أن يرزقنا وإياكم علمًا نافعًا، وعملًا صالحًا، ورزقًا واسعًا، وشفاءً من كل داء، وأن يصلح أحوالنا وأحوال المسلمين في كل مكان، وأن يجعلنا وإياكم مفاتيح للخير مغاليق للشر، وأن يوفقنا للأعمال الصالحة، وأن يختم لنا بالحسنى، إنه ولي ذلك والقادر عليه.</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وبارك على عبده ورسوله نبينا محمد، وعلى آله وصحبه أجمعين.</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2026-10-15T09:49:42.214Z</dcterms:created>
  <dcterms:modified xsi:type="dcterms:W3CDTF">2026-10-15T09:49:42.214Z</dcterms:modified>
</cp:coreProperties>
</file>

<file path=docProps/custom.xml><?xml version="1.0" encoding="utf-8"?>
<Properties xmlns="http://schemas.openxmlformats.org/officeDocument/2006/custom-properties" xmlns:vt="http://schemas.openxmlformats.org/officeDocument/2006/docPropsVTypes"/>
</file>