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28</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 «القواعد الفقهية».</w:t>
      </w:r>
    </w:p>
    <w:p>
      <w:pPr>
        <w:bidi/>
        <w:spacing w:after="200" w:line="360"/>
        <w:jc w:val="both"/>
      </w:pPr>
      <w:r>
        <w:rPr>
          <w:rFonts w:ascii="Traditional Arabic" w:cs="Traditional Arabic" w:eastAsia="Traditional Arabic" w:hAnsi="Traditional Arabic"/>
          <w:sz w:val="32"/>
          <w:szCs w:val="32"/>
          <w:rtl/>
        </w:rPr>
        <w:t xml:space="preserve">من القواعد الفقهية المهمة – وهي تصلح للإنسان في خاصة نفسه، أو مع زوجه وولده، أو في القضاء، أو للحاكم بين الناس – ما قرّره الفقهاء بقولهم: «الأصل هو البقاء على الأصل الثابت حتى يرد الناقل». وتسمى هذه القاعدة «قاعدة الأصول»، وهي من أنفع القواعد الفقهية لطالب العلم؛ فإنها تفيد طالب العلم فوائد جمّة:</w:t>
      </w:r>
    </w:p>
    <w:p>
      <w:pPr>
        <w:bidi/>
        <w:spacing w:after="200" w:line="360"/>
        <w:jc w:val="both"/>
      </w:pPr>
      <w:r>
        <w:rPr>
          <w:rFonts w:ascii="Traditional Arabic" w:cs="Traditional Arabic" w:eastAsia="Traditional Arabic" w:hAnsi="Traditional Arabic"/>
          <w:sz w:val="32"/>
          <w:szCs w:val="32"/>
          <w:rtl/>
        </w:rPr>
        <w:t xml:space="preserve">من هذه الفوائد: أنه يبقى على الأصل المقرَّر؛ أي أنه يبقى على الأصل الذي أمامه، فلا ننتقل عن الأصل الذي أمامنا حتى يرد إلينا ناقل ينقلنا عن الأصل. فالأصل مثلًا أن هذا البيت ملك فلان، كيف عرفنا ذلك؟ لأنه ساكنه، ولأن يده عليه، ويتصرف فيه كالمالك، فلا يمكن أن ننتقل عن هذا الأصل حتى يرد الناقل. فلو قيل: إن هذا البيت ليس لفلان، بل لفلان، نقول: ما الدليل؟ يأتينا ببيّنة، وإلا فالأصل بقاء ما كان على ما كان. فأيّ أصل مقرّر دلّت عليه الأدلة الشرعية والعقلية لا يتعدّاه الإنسان لقول قائل، ولا لفتوى عالم، بل لا يتعداه إلا بدليل واضح ناقل؛ إذا جاء الدليل الناقل فينتقل معه، وإلا ثبت على الأصل. وهذا يحمي طالب العلم، وممتلكات الناس وأعراضهم وحياتهم، من التشويش وكثرة التنقل، وهذا مقصد بحدّ ذاته شرعي؛ فهو أصل ثابت يرجع إليه العالم عند عدم الدليل.</w:t>
      </w:r>
    </w:p>
    <w:p>
      <w:pPr>
        <w:bidi/>
        <w:spacing w:after="200" w:line="360"/>
        <w:jc w:val="both"/>
      </w:pPr>
      <w:r>
        <w:rPr>
          <w:rFonts w:ascii="Traditional Arabic" w:cs="Traditional Arabic" w:eastAsia="Traditional Arabic" w:hAnsi="Traditional Arabic"/>
          <w:sz w:val="32"/>
          <w:szCs w:val="32"/>
          <w:rtl/>
        </w:rPr>
        <w:t xml:space="preserve">ومن الفوائد أيضًا: معرفة الدليل، وأهمية الدليل والبيّنة؛ والدليل كل ما دلّ على الحق وأوصل إليه. والأصل أن الدليل نطلبه من الذي ينقلنا عن الحالة الموجودة، لا من الثابت عليها. فلا نقول لأحد من الناس: أثبت أن هذه الأرض التي تزرعها أنت وأبوك، أثبت أنها لكم! لا يمكن، فالأصل الظاهر أنها لهم، لكن إن أراد أن ينقلهم عن هذا الأصل طالبناه بدليل وبيّنة؛ فإن جاء الناقل ببيّنة قبلنا قوله، وإلا فقوله مردود.</w:t>
      </w:r>
    </w:p>
    <w:p>
      <w:pPr>
        <w:bidi/>
        <w:spacing w:after="200" w:line="360"/>
        <w:jc w:val="both"/>
      </w:pPr>
      <w:r>
        <w:rPr>
          <w:rFonts w:ascii="Traditional Arabic" w:cs="Traditional Arabic" w:eastAsia="Traditional Arabic" w:hAnsi="Traditional Arabic"/>
          <w:sz w:val="32"/>
          <w:szCs w:val="32"/>
          <w:rtl/>
        </w:rPr>
        <w:t xml:space="preserve">وهذه القاعدة مهمة: الأصل بقاء الشيء على ما هو عليه، ولا ننتقل عن هذا الأصل إلا بدليل واضح.</w:t>
      </w:r>
    </w:p>
    <w:p>
      <w:pPr>
        <w:bidi/>
        <w:spacing w:after="200" w:line="360"/>
        <w:jc w:val="both"/>
      </w:pPr>
      <w:r>
        <w:rPr>
          <w:rFonts w:ascii="Traditional Arabic" w:cs="Traditional Arabic" w:eastAsia="Traditional Arabic" w:hAnsi="Traditional Arabic"/>
          <w:sz w:val="32"/>
          <w:szCs w:val="32"/>
          <w:rtl/>
        </w:rPr>
        <w:t xml:space="preserve">مثال ذلك: لو قال قائل بحرمة الزرافة، قال: أكل الزرافة حرام، نقول: ما الدليل؟ لأن الأصل في الحيوانات الحلّ والإباحة: ﴿هُوَ الَّذِي خَلَقَ لَكُمْ مَا فِي الْأَرْضِ جَمِيعًا﴾، منّةً منه سبحانه. فإذا دلّ الدليل الشرعي على أن الزرافة حرام أخذنا به، وإلا إذا لم يوجد دليل فالأصل أن كل حيوان فهو مباح وحلال؛ فنقول لمن قال بحرمة الزرافة: أين الدليل على التحريم؟ إذًا نبقى على الأصل الذي هو حلّها وإباحتها. ولم نكن لنعرف حكمها لو لم نعرف الأصل في الحيوانات.</w:t>
      </w:r>
    </w:p>
    <w:p>
      <w:pPr>
        <w:bidi/>
        <w:spacing w:after="200" w:line="360"/>
        <w:jc w:val="both"/>
      </w:pPr>
      <w:r>
        <w:rPr>
          <w:rFonts w:ascii="Traditional Arabic" w:cs="Traditional Arabic" w:eastAsia="Traditional Arabic" w:hAnsi="Traditional Arabic"/>
          <w:sz w:val="32"/>
          <w:szCs w:val="32"/>
          <w:rtl/>
        </w:rPr>
        <w:t xml:space="preserve">ومنها: من ادّعى حرمة شيء من النباتات البرية والبحرية، والحيوانات البرية والبحرية، نقول: عليك الدليل، وإلا فالأصل الحلّ؛ فنبقى على هذا الأصل؛ لأننا لا ننتقل عنه حتى تأتينا بالدليل الناقل؛ لأن الأصل في الحيوانات الحلّ والإباحة حتى يرد الناقل، فحيث لا ناقل عن هذه الأصول فالأصل الحل، اللهم إلا إذا أتى بناقل، يقول مثلًا: هذا الحيوان ثبت ضرره، والضرر محرّم في الشريعة، أو أن هذا النبات مما يسبّب للإنسان ضررًا، فنقول: الضرر ممنوع في الشريعة، فتكون محرّمة، أما دون دليل فالأصل بقاؤها على الحل.</w:t>
      </w:r>
    </w:p>
    <w:p>
      <w:pPr>
        <w:bidi/>
        <w:spacing w:after="200" w:line="360"/>
        <w:jc w:val="both"/>
      </w:pPr>
      <w:r>
        <w:rPr>
          <w:rFonts w:ascii="Traditional Arabic" w:cs="Traditional Arabic" w:eastAsia="Traditional Arabic" w:hAnsi="Traditional Arabic"/>
          <w:sz w:val="32"/>
          <w:szCs w:val="32"/>
          <w:rtl/>
        </w:rPr>
        <w:t xml:space="preserve">كذلك من ادّعى حرمة شيء من عادات الناس وتقاليدهم، نقول: عليك الدليل؛ لأن الأصل في العادات التي درج الناس عليها هو إباحتها، إلا إذا أتى بدليل ناقل، فننتقل عن الإباحة للدليل الناقل؛ لأن الناس قد يستمرون على عادة من العادات وهي مخالفة للشرع، ويجهلون ذلك، فإذا أتى بدليل ينقلهم عن الأصل – وهو الإباحة – انتقلنا عن هذه العادة معه إلى التحريم، لكن ما دام لم يأتِ بدليل فنبقى على الأصل: أن هذه الأمور الأصل فيها الحلّ والإباحة.</w:t>
      </w:r>
    </w:p>
    <w:p>
      <w:pPr>
        <w:bidi/>
        <w:spacing w:after="200" w:line="360"/>
        <w:jc w:val="both"/>
      </w:pPr>
      <w:r>
        <w:rPr>
          <w:rFonts w:ascii="Traditional Arabic" w:cs="Traditional Arabic" w:eastAsia="Traditional Arabic" w:hAnsi="Traditional Arabic"/>
          <w:sz w:val="32"/>
          <w:szCs w:val="32"/>
          <w:rtl/>
        </w:rPr>
        <w:t xml:space="preserve">كذلك من ادّعى عبادة من العبادات فعليه الدليل؛ لأن عندنا الأصل هو عدم العبادة؛ الأصل أنه لا يجوز للناس أن يخترعوا عبادات، والأصل أنه لا يمكن لأحد أن يشرّع عبادة. فلو أتانا الإنسان بعبادة من العبادات، نقول: ائتِ بالدليل، ليس مجالًا لاجتهاد الشخص؛ باب العبادة مقفل، ليس لنا طريق للعبادة إلا عن طريق ما قاله الله عز وجل، أو أمر به النبي عليه الصلاة والسلام وأرشد إليه. فالأصل أنه سُدّ باب إحداث العبادة، لا يمكن للناس أن يتعبّدوا من عند أنفسهم، فالواجب هو البقاء على هذا الأصل، وهو عدم فتح باب العبادات، إلا إذا أتانا بدليل، قال: هذه العبادة ثابتة، والدليل كذا وكذا، وخفي عليكم؛ فهنا ننتقل من الأصل – وهو عدم العبادة – إلى العبادة بدليل شرعي، وهكذا.</w:t>
      </w:r>
    </w:p>
    <w:p>
      <w:pPr>
        <w:bidi/>
        <w:spacing w:after="200" w:line="360"/>
        <w:jc w:val="both"/>
      </w:pPr>
      <w:r>
        <w:rPr>
          <w:rFonts w:ascii="Traditional Arabic" w:cs="Traditional Arabic" w:eastAsia="Traditional Arabic" w:hAnsi="Traditional Arabic"/>
          <w:sz w:val="32"/>
          <w:szCs w:val="32"/>
          <w:rtl/>
        </w:rPr>
        <w:t xml:space="preserve">كذلك من ادّعى ناقضًا من النواقض، قال: هذا ناقض من النواقض، نقول: عليك الدليل؛ لأن الأصل أن كل عبادة، وكل وضوء انعقد بدليل شرعي، لا ينتقض، فلا ننتقل من هذا الوضوء إلى نقضه إلا بدليل شرعي، والدليل يُطلب من الناقل. فإذا أنهى الإنسان العبادة على وجهها، الإنسان توضأ، فلا يمكن أن يُدخل إلينا فلان مثلًا: لبسك لهذا ينقض الوضوء! لا يمكن، حتى نقول: أعطونا الدليل. فإذا جاء الدليل ينقله عن هذا، فنقول: إن حقًّا هذا دليل، أما الأصل فهو بقاء العبادة على صفتها الصحيحة، ولا ينقضها شيء إلا بدليل شرعي.</w:t>
      </w:r>
    </w:p>
    <w:p>
      <w:pPr>
        <w:bidi/>
        <w:spacing w:after="200" w:line="360"/>
        <w:jc w:val="both"/>
      </w:pPr>
      <w:r>
        <w:rPr>
          <w:rFonts w:ascii="Traditional Arabic" w:cs="Traditional Arabic" w:eastAsia="Traditional Arabic" w:hAnsi="Traditional Arabic"/>
          <w:sz w:val="32"/>
          <w:szCs w:val="32"/>
          <w:rtl/>
        </w:rPr>
        <w:t xml:space="preserve">كذلك من ادّعى حقًّا من دين أو نحوه على الإنسان؛ فالأصل براءة ذمم الناس من كل الحقوق. قال: أنا لي حق في ذمة فلان، نقول: الأصل أنه بريء الذمة، هذا هو الأصل، فلا ينتقل القاضي، ولا الحاكم، ولا المفتي، عن هذا الأصل حتى يأتي بدليل ينقلنا من براءة ذمته إلى تعلّقها بشيء من الحقوق؛ إذا أتى ببيّنة ودليل، وشهود، أو كتابة، أو نحوها مما يُتوصل به إلى معرفة أن فعلًا فلانًا ذمته مشغولة، نقلناه من براءة الذمة – التي هي الأصل في الناس – إلى أن ذمته مشغولة، إذا جاء بالبيّنة والدليل.</w:t>
      </w:r>
    </w:p>
    <w:p>
      <w:pPr>
        <w:bidi/>
        <w:spacing w:after="200" w:line="360"/>
        <w:jc w:val="both"/>
      </w:pPr>
      <w:r>
        <w:rPr>
          <w:rFonts w:ascii="Traditional Arabic" w:cs="Traditional Arabic" w:eastAsia="Traditional Arabic" w:hAnsi="Traditional Arabic"/>
          <w:sz w:val="32"/>
          <w:szCs w:val="32"/>
          <w:rtl/>
        </w:rPr>
        <w:t xml:space="preserve">المهم أن هذه القاعدة تركّز على الأصل في الأشياء، وأن لا يُنقل عن الأصل في الأشياء إلا بدليل ناقل.</w:t>
      </w:r>
    </w:p>
    <w:p>
      <w:pPr>
        <w:bidi/>
        <w:spacing w:after="200" w:line="360"/>
        <w:jc w:val="both"/>
      </w:pPr>
      <w:r>
        <w:rPr>
          <w:rFonts w:ascii="Traditional Arabic" w:cs="Traditional Arabic" w:eastAsia="Traditional Arabic" w:hAnsi="Traditional Arabic"/>
          <w:sz w:val="32"/>
          <w:szCs w:val="32"/>
          <w:rtl/>
        </w:rPr>
        <w:t xml:space="preserve">وخلاصة الكلام الذي ذكرناه في هذه القاعدة: عدة قواعد من قواعد الأصول:</w:t>
      </w:r>
    </w:p>
    <w:p>
      <w:pPr>
        <w:bidi/>
        <w:spacing w:after="200" w:line="360"/>
        <w:jc w:val="both"/>
      </w:pPr>
      <w:r>
        <w:rPr>
          <w:rFonts w:ascii="Traditional Arabic" w:cs="Traditional Arabic" w:eastAsia="Traditional Arabic" w:hAnsi="Traditional Arabic"/>
          <w:sz w:val="32"/>
          <w:szCs w:val="32"/>
          <w:rtl/>
        </w:rPr>
        <w:t xml:space="preserve">مثلًا: الأصل في الحيوانات البرية والبحرية الحلّ والإباحة، فإذا جاءنا دليل، قال: الدليل جاء بتحريم مثلًا ما كان ذا ناب، قلنا: هذا الحيوان محرّم؛ لأن عندنا دليلًا بتحريمه. فإن أتانا الدليل بالتحريم قلنا: هذا الحيوان محرّم. لماذا؟ مثلًا لأن الشريعة أمرت بقتل الكلب العقور والحية؛ فما دامت أمرت الشريعة بقتله دلّ على أنه محرّم الأكل؛ لأن قتله إفساد له، والشريعة لا تتشوّف إلى الإفساد، بل لو كان مباحًا لأمرت بذبحه وأكله، فلما أمرت الشريعة بقتله – وهذه قاعدة من القواعد العظيمة – فما أمرت الشريعة بقتله فهو محرّم الأكل. كذلك ما نهت عن قتله، مثلًا كالهدهد، نهت الشريعة عن قتله، فهذا يدل على أنه محرّم الأكل؛ لأنه لا سبيل لأكله إلا بقتله. فهذه تنقلنا عن الأصل العام، الأصل في الحيوانات البرية والبحرية الحلّ والإباحة إلا بدليل، ومن الأدلة الناقلة ما ذكرنا من الأمثلة.</w:t>
      </w:r>
    </w:p>
    <w:p>
      <w:pPr>
        <w:bidi/>
        <w:spacing w:after="200" w:line="360"/>
        <w:jc w:val="both"/>
      </w:pPr>
      <w:r>
        <w:rPr>
          <w:rFonts w:ascii="Traditional Arabic" w:cs="Traditional Arabic" w:eastAsia="Traditional Arabic" w:hAnsi="Traditional Arabic"/>
          <w:sz w:val="32"/>
          <w:szCs w:val="32"/>
          <w:rtl/>
        </w:rPr>
        <w:t xml:space="preserve">كذلك الأصل في النباتات البرية أو البحرية أنها حلال ومباحة إلا بدليل، والدليل قد يكون من عمومات الشريعة؛ فالشريعة لا تخصّص كل نبات بعينه: هذا حلال وهذا حرام، لكنها عمومات تدخل فيها فروع كثيرة؛ فلو وجدنا مثلًا نباتًا بحريًا، واكتُشف أنه مضرّ، وأن من أكله أتلف جهازًا من أجهزته، أو أذهب بصره، أو أصابه بكذا وكذا، نقول: هذا محرّم، ولا يجوز بيعه، ولا تناوله، ولا ترويجه بين الناس؛ لأنه ثبت ضرره، والشريعة حرّمت الضرر، وإلا فالأصل في النباتات البرية والبحرية الحلّ والإباحة، ولا ننتقل عن الأصل إلا بدليل. هذا هو خلاصة القاعدة.</w:t>
      </w:r>
    </w:p>
    <w:p>
      <w:pPr>
        <w:bidi/>
        <w:spacing w:after="200" w:line="360"/>
        <w:jc w:val="both"/>
      </w:pPr>
      <w:r>
        <w:rPr>
          <w:rFonts w:ascii="Traditional Arabic" w:cs="Traditional Arabic" w:eastAsia="Traditional Arabic" w:hAnsi="Traditional Arabic"/>
          <w:sz w:val="32"/>
          <w:szCs w:val="32"/>
          <w:rtl/>
        </w:rPr>
        <w:t xml:space="preserve">كذلك الأصل في العادات: عادات الناس وتقاليدهم؛ فلو جاء إنسان وحرّم عليهم عادة من عاداتهم في الأكل، أو في اللباس، أو طريقة مثلًا بنائهم لمنازلهم، أو زرعهم، وحرّم عليهم عاداتهم، قلنا: الأصل في عادات الناس أنها مباحة، والشريعة لم تأتِ لتجبر الناس كلهم على عادة واحدة، على عادة أهل مكة مثلًا، لا، بل لكل بلد خصوصية في عاداته وتقاليده، بشرط أن لا تخالف الشرع. فإذا أتيت إلى بيئة مختلفة عن بيئتك فلا تحرّم عليهم؛ لأن الأصل في العادات الحلّ والإباحة، إلا بدليل ناقل عن هذا الأصل؛ مثلًا إذا كان من الناس من عاداتهم أن يصافح الرجال النساء، فنقول: هذه عادة محرّمة، جاءت الأدلة بحرمة ذلك، وهكذا، وإلا فالأصل – قاعدتنا تقول – بقاء ما كان على ما كان، ولا يُنتقل عنه إلا بدليل ناقل.</w:t>
      </w:r>
    </w:p>
    <w:p>
      <w:pPr>
        <w:bidi/>
        <w:spacing w:after="200" w:line="360"/>
        <w:jc w:val="both"/>
      </w:pPr>
      <w:r>
        <w:rPr>
          <w:rFonts w:ascii="Traditional Arabic" w:cs="Traditional Arabic" w:eastAsia="Traditional Arabic" w:hAnsi="Traditional Arabic"/>
          <w:sz w:val="32"/>
          <w:szCs w:val="32"/>
          <w:rtl/>
        </w:rPr>
        <w:t xml:space="preserve">كذلك الأصل أن كل عبادة أدّاها الإنسان على وجه شرعي، وانعقدت بدليل شرعي، لا يمكن أن ننقضها إلا بدليل ناقل؛ فليس إبطال عبادة الناس من الأمر السهل.</w:t>
      </w:r>
    </w:p>
    <w:p>
      <w:pPr>
        <w:bidi/>
        <w:spacing w:after="200" w:line="360"/>
        <w:jc w:val="both"/>
      </w:pPr>
      <w:r>
        <w:rPr>
          <w:rFonts w:ascii="Traditional Arabic" w:cs="Traditional Arabic" w:eastAsia="Traditional Arabic" w:hAnsi="Traditional Arabic"/>
          <w:sz w:val="32"/>
          <w:szCs w:val="32"/>
          <w:rtl/>
        </w:rPr>
        <w:t xml:space="preserve">كذلك من القواعد المندرجة تحت هذه القاعدة: «الأصل براءة الذمة»؛ ولا يمكن أن نكلّفهم بشيء من حقوق العباد، أو من حقوق الله عز وجل؛ فإن قلت: يجب عليك من العبادة كذا وكذا، قلنا: الأصل أن الإنسان بريء من عبادة إضافية إلا بدليل، وكذلك الأصل أن الإنسان بريء من حقوق الناس إلا بدليل. فلا يمكن أن نُدخل على الناس عبادة غير العبادات المشهورة المعروفة المجمع عليها، ونقول: يجب عليك أن تزكّي من المال كذا وكذا، ويجب كذا، إلا بدليل؛ فالأصل أن الإنسان بريء الذمة، هذا هو الأصل.</w:t>
      </w:r>
    </w:p>
    <w:p>
      <w:pPr>
        <w:bidi/>
        <w:spacing w:after="200" w:line="360"/>
        <w:jc w:val="both"/>
      </w:pPr>
      <w:r>
        <w:rPr>
          <w:rFonts w:ascii="Traditional Arabic" w:cs="Traditional Arabic" w:eastAsia="Traditional Arabic" w:hAnsi="Traditional Arabic"/>
          <w:sz w:val="32"/>
          <w:szCs w:val="32"/>
          <w:rtl/>
        </w:rPr>
        <w:t xml:space="preserve">إذا تبيّن هذا الأصل عرفنا أن هذه القاعدة تدخل في أبواب كثيرة من الفقه، وتسهّل للإنسان معرفة ما يحلّ وما يحرم من الحيوانات، وما يحل وما يحرم من النباتات، وما يحل وما يحرم من العادات، وما يُشرع من العبادات؛ لأنه يمضي على أصل واضح، وهو أن الأصل بقاء ما كان على ما كان، وأن لا ننتقل عنه إلا بناقل واضح.</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2026-10-15T09:49:42.386Z</dcterms:created>
  <dcterms:modified xsi:type="dcterms:W3CDTF">2026-10-15T09:49:42.386Z</dcterms:modified>
</cp:coreProperties>
</file>

<file path=docProps/custom.xml><?xml version="1.0" encoding="utf-8"?>
<Properties xmlns="http://schemas.openxmlformats.org/officeDocument/2006/custom-properties" xmlns:vt="http://schemas.openxmlformats.org/officeDocument/2006/docPropsVTypes"/>
</file>