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31</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أن نستعرض في هذه الحلقة قاعدة مهمة من قواعد الفقه، وهي قول الفقهاء: «لا يؤثّر فعل المنهي عنه إلا بذكرٍ وعلمٍ وإرادة»؛ ففعلك الشيء المنهي عنه لا يؤثّر إلا إذا كنت عالمًا به، وذاكرًا عند فعله أنه منهي عنه، ومريدًا لذلك. طبعًا قد يترتب عليك الضمان، ضمان شيء آخر، غير المؤاخذة الشرعية.</w:t>
      </w:r>
    </w:p>
    <w:p>
      <w:pPr>
        <w:bidi/>
        <w:spacing w:after="200" w:line="360"/>
        <w:jc w:val="both"/>
      </w:pPr>
      <w:r>
        <w:rPr>
          <w:rFonts w:ascii="Traditional Arabic" w:cs="Traditional Arabic" w:eastAsia="Traditional Arabic" w:hAnsi="Traditional Arabic"/>
          <w:sz w:val="32"/>
          <w:szCs w:val="32"/>
          <w:rtl/>
        </w:rPr>
        <w:t xml:space="preserve">الشريعة الإسلامية إما أن تأتي بمأمورات، وإما أن تأتي بأشياء منهيات، ولا ثالث لهما؛ إما أن تأمر، وإما أن تنهى.</w:t>
      </w:r>
    </w:p>
    <w:p>
      <w:pPr>
        <w:bidi/>
        <w:spacing w:after="200" w:line="360"/>
        <w:jc w:val="both"/>
      </w:pPr>
      <w:r>
        <w:rPr>
          <w:rFonts w:ascii="Traditional Arabic" w:cs="Traditional Arabic" w:eastAsia="Traditional Arabic" w:hAnsi="Traditional Arabic"/>
          <w:sz w:val="32"/>
          <w:szCs w:val="32"/>
          <w:rtl/>
        </w:rPr>
        <w:t xml:space="preserve">وما تأمر به الشريعة: إما أن تأمر به على وجه الإلزام، فهو الواجب، كالصلوات الخمس، وبرّ الوالدين؛ فهذا أمرت به الشريعة على وجه الإلزام، لا بد أن تفعله. وإما أن تأمر به على غير وجه الإلزام، كنوافل الصيام، ونوافل الصلاة، ونوافل الصدقة؛ فهذا ما رغّبت الشريعة وحضّت عليه، لكن لم تُلزم العباد بفعله، فيكون من باب الاستحباب، لكنه يندرج تحت قاعدة الأوامر.</w:t>
      </w:r>
    </w:p>
    <w:p>
      <w:pPr>
        <w:bidi/>
        <w:spacing w:after="200" w:line="360"/>
        <w:jc w:val="both"/>
      </w:pPr>
      <w:r>
        <w:rPr>
          <w:rFonts w:ascii="Traditional Arabic" w:cs="Traditional Arabic" w:eastAsia="Traditional Arabic" w:hAnsi="Traditional Arabic"/>
          <w:sz w:val="32"/>
          <w:szCs w:val="32"/>
          <w:rtl/>
        </w:rPr>
        <w:t xml:space="preserve">وإما أن تأتي الشريعة بأشياء منهيات، وهذا النهي: إما نهي على جهة الإلزام، والتأثيم بالفعل، فهو المحرّم المنهي عنه، وإما نهي كراهة. فالنهي إذا كان من الشريعة النهي عن أمر فألزمتنا بترك هذا، فنعرف أن هذا المنهي عنه حرام، ولا يجوز قربانه. وقد تنهانا الشريعة عن أشياء، لكن ليس على سبيل الإلزام، وإنما رغّبت وحضّت على تركها، دون أن ترتّب الشريعة إثمًا على من وقع فيها؛ مثال ذلك مما حضّت الشريعة على تركه: الالتفات في الصلاة؛ فالشريعة حضّت على النهي أن يلتفت الرجل في الصلاة، لكن لو فعل ذلك فلا نقول إنه فعل محرّمًا، والصلاة صحيحة، لكنه أنقص أجرها بفعله.</w:t>
      </w:r>
    </w:p>
    <w:p>
      <w:pPr>
        <w:bidi/>
        <w:spacing w:after="200" w:line="360"/>
        <w:jc w:val="both"/>
      </w:pPr>
      <w:r>
        <w:rPr>
          <w:rFonts w:ascii="Traditional Arabic" w:cs="Traditional Arabic" w:eastAsia="Traditional Arabic" w:hAnsi="Traditional Arabic"/>
          <w:sz w:val="32"/>
          <w:szCs w:val="32"/>
          <w:rtl/>
        </w:rPr>
        <w:t xml:space="preserve">وهذه القاعدة التي معنا هي خاصة بالمنهيات: «لا يؤثّر فعل المنهي عنه إلا بذكر وعلم وإرادة»، وعلى ذلك فيدخل فيها نصف الشريعة؛ لأننا علمنا أن الشريعة إما أوامر وإما نواهٍ.</w:t>
      </w:r>
    </w:p>
    <w:p>
      <w:pPr>
        <w:bidi/>
        <w:spacing w:after="200" w:line="360"/>
        <w:jc w:val="both"/>
      </w:pPr>
      <w:r>
        <w:rPr>
          <w:rFonts w:ascii="Traditional Arabic" w:cs="Traditional Arabic" w:eastAsia="Traditional Arabic" w:hAnsi="Traditional Arabic"/>
          <w:sz w:val="32"/>
          <w:szCs w:val="32"/>
          <w:rtl/>
        </w:rPr>
        <w:t xml:space="preserve">إذا علمت هذا، فما حرّمه الله عز وجل وحكم بتحريمه – قولًا أو فعلًا – من الأمور لا يجوز فعله ولا الإقدام عليه. لكن لو فعل الإنسان أمرًا من المحرّمات القولية أو الفعلية، فهل يأثم، أو يترتب عليه الإثم، ويترتب على فعله المؤاخذة الشرعية؟</w:t>
      </w:r>
    </w:p>
    <w:p>
      <w:pPr>
        <w:bidi/>
        <w:spacing w:after="200" w:line="360"/>
        <w:jc w:val="both"/>
      </w:pPr>
      <w:r>
        <w:rPr>
          <w:rFonts w:ascii="Traditional Arabic" w:cs="Traditional Arabic" w:eastAsia="Traditional Arabic" w:hAnsi="Traditional Arabic"/>
          <w:sz w:val="32"/>
          <w:szCs w:val="32"/>
          <w:rtl/>
        </w:rPr>
        <w:t xml:space="preserve">نقول: الجواب أن يقال: قبل الحكم بالتأثيم، وترتيب ما يترتب عليه من الكفارات والحدود ونحوها، يجب علينا أن ننظر في ثلاثة أمور؛ فإذا تحققت هذه الأمور أجرينا عليه آثار فعل المنهي عنه، من الإثم والعقوبة – نعم قد يترتب عليه الضمان، لكننا نتكلم عن الإثم والعقوبة – وإن تخلّف واحد منها فإن ارتكابه للمنهي عنه لا تترتب عليه آثاره. وهذا عام ومطّرد في كل الفروع، ولا يشذّ منه فرع إلا لدليل خاص.</w:t>
      </w:r>
    </w:p>
    <w:p>
      <w:pPr>
        <w:bidi/>
        <w:spacing w:after="200" w:line="360"/>
        <w:jc w:val="both"/>
      </w:pPr>
      <w:r>
        <w:rPr>
          <w:rFonts w:ascii="Traditional Arabic" w:cs="Traditional Arabic" w:eastAsia="Traditional Arabic" w:hAnsi="Traditional Arabic"/>
          <w:sz w:val="32"/>
          <w:szCs w:val="32"/>
          <w:rtl/>
        </w:rPr>
        <w:t xml:space="preserve">فلا بد – عندما يريد المرء أن يحكم أن الإنسان فيما فعله آثم فيه أو لا – نقول: لا بد:</w:t>
      </w:r>
    </w:p>
    <w:p>
      <w:pPr>
        <w:bidi/>
        <w:spacing w:after="200" w:line="360"/>
        <w:jc w:val="both"/>
      </w:pPr>
      <w:r>
        <w:rPr>
          <w:rFonts w:ascii="Traditional Arabic" w:cs="Traditional Arabic" w:eastAsia="Traditional Arabic" w:hAnsi="Traditional Arabic"/>
          <w:sz w:val="32"/>
          <w:szCs w:val="32"/>
          <w:rtl/>
        </w:rPr>
        <w:t xml:space="preserve">أولًا: أن يكون عند المكلف العلم؛ أي أن يعلم المكلف أن هذا الفعل، أو هذا القول، منهي عنه. فإذا قاله أو فعله ولم يعلم حكمه فلا إثم عليه، مثل من يجهل كثيرًا من أحكام الإسلام، كحديث العهد بالإسلام، أو من نشأ ببادية بعيدة عن العلم والعلماء، أو كان فعله وقوله على سبيل أنه لا يعلم أن الشريعة تؤاخذه بهذا، وليس عنده علم، فهذا لا يؤاخذ بفعله للأمر المنهي عنه أبدًا؛ لأن الشريعة – أمرًا ونهيًا – لا تثبت في حق المكلف إلا إذا علم، أما إذا فعلها وهو لا يعلم فإن الله لا يؤاخذه.</w:t>
      </w:r>
    </w:p>
    <w:p>
      <w:pPr>
        <w:bidi/>
        <w:spacing w:after="200" w:line="360"/>
        <w:jc w:val="both"/>
      </w:pPr>
      <w:r>
        <w:rPr>
          <w:rFonts w:ascii="Traditional Arabic" w:cs="Traditional Arabic" w:eastAsia="Traditional Arabic" w:hAnsi="Traditional Arabic"/>
          <w:sz w:val="32"/>
          <w:szCs w:val="32"/>
          <w:rtl/>
        </w:rPr>
        <w:t xml:space="preserve">ودليل ذلك قول الله عز وجل: ﴿وَمَا كُنَّا مُعَذِّبِينَ حَتَّى نَبْعَثَ رَسُولًا﴾؛ فالله عز وجل نفى أن يعذّب أحدًا إلا بعد بعثة الرسل، ووظيفة الرسل تعليم الناس، فتقوم الحجة على الناس. أما من لا يعلم الحكم – مثله من يجهل – فالحجة الرسالية لم تقم عليه بعدُ، ومن لم تقم عليه الحجة الرسالية فإن الله لا يعذّبه. هذا الأصل: أن الإنسان إذا كان جاهلًا لا يؤاخذ على الفعل، ولكن إذا كان هو قد فرّط في التعلّم، هو الذي ترك التعلّم، فهذا مفرّط، ويؤاخذ على ما يفعله من حرام.</w:t>
      </w:r>
    </w:p>
    <w:p>
      <w:pPr>
        <w:bidi/>
        <w:spacing w:after="200" w:line="360"/>
        <w:jc w:val="both"/>
      </w:pPr>
      <w:r>
        <w:rPr>
          <w:rFonts w:ascii="Traditional Arabic" w:cs="Traditional Arabic" w:eastAsia="Traditional Arabic" w:hAnsi="Traditional Arabic"/>
          <w:sz w:val="32"/>
          <w:szCs w:val="32"/>
          <w:rtl/>
        </w:rPr>
        <w:t xml:space="preserve">وجميع الآيات التي تبيّن عدم تكليف النفس بما لا تطيق تدل على اشتراط العلم؛ لأن التكليف بما لا يُعلم تكليف بما لا يُطاق، وهو منفي شرعًا.</w:t>
      </w:r>
    </w:p>
    <w:p>
      <w:pPr>
        <w:bidi/>
        <w:spacing w:after="200" w:line="360"/>
        <w:jc w:val="both"/>
      </w:pPr>
      <w:r>
        <w:rPr>
          <w:rFonts w:ascii="Traditional Arabic" w:cs="Traditional Arabic" w:eastAsia="Traditional Arabic" w:hAnsi="Traditional Arabic"/>
          <w:sz w:val="32"/>
          <w:szCs w:val="32"/>
          <w:rtl/>
        </w:rPr>
        <w:t xml:space="preserve">كذلك حديث ابن عمر في أهل قباء: أنه لما حُوّلت القبلة خرج رجل ممن صلى مع النبي صلى الله عليه وسلم، فمرّ بأهل قباء وهم يصلون الصبح، فقال: أشهد بالله أن النبي عليه الصلاة والسلام قد أُنزل عليه الليلة قرآن، وقد أُمر أن يستقبل الكعبة، فاستقبلوها، فاستداروا كما هم إلى الكعبة. وقد كانوا صلّوا إلى جهة قبلة منسوخة، لا يُصلّى إليها، وهي بيت المقدس، لكنهم لم يؤمروا بالإعادة، ولم تكن صلاتهم باطلة، مع أنهم صلّوا إلى جهة لا يُصلّى إليها؛ لأنهم لم يعلموا؛ لذلك لم يؤاخذوا، مما يدل على العفو عنهم لعدم علمهم بذلك، ولم يؤمروا بالإعادة، مما يدل على اشتراط العلم عند المكلف حتى يترتب عليه أثر المخالفة.</w:t>
      </w:r>
    </w:p>
    <w:p>
      <w:pPr>
        <w:bidi/>
        <w:spacing w:after="200" w:line="360"/>
        <w:jc w:val="both"/>
      </w:pPr>
      <w:r>
        <w:rPr>
          <w:rFonts w:ascii="Traditional Arabic" w:cs="Traditional Arabic" w:eastAsia="Traditional Arabic" w:hAnsi="Traditional Arabic"/>
          <w:sz w:val="32"/>
          <w:szCs w:val="32"/>
          <w:rtl/>
        </w:rPr>
        <w:t xml:space="preserve">كذلك في حديث عدي بن حاتم: لما أنزل الله عز وجل قوله: ﴿وَكُلُوا وَاشْرَبُوا حَتَّى يَتَبَيَّنَ لَكُمُ الْخَيْطُ الْأَبْيَضُ مِنَ الْخَيْطِ الْأَسْوَدِ﴾، فهم الآية على غير مرادها، قال: عمدتُ إلى عقالين، فوضعتهما تحت وسادتي، فأكلت وشربت حتى طلع الصبح، فتبيّن لي الفرق بين هذين العقالين، فأخبرت النبي صلى الله عليه وسلم، فقال: «إنك لعريض الوساد، إنما هو ظلمة الليل ونور الصباح». ولم يأمره النبي عليه الصلاة والسلام بقضاء ذلك اليوم؛ لأنه جاهل، فارتكب الحرام – الذي هو الأكل والشرب في نهار رمضان – وهو لا يعلم أنه حرام، فلم يؤاخذه النبي عليه الصلاة والسلام.</w:t>
      </w:r>
    </w:p>
    <w:p>
      <w:pPr>
        <w:bidi/>
        <w:spacing w:after="200" w:line="360"/>
        <w:jc w:val="both"/>
      </w:pPr>
      <w:r>
        <w:rPr>
          <w:rFonts w:ascii="Traditional Arabic" w:cs="Traditional Arabic" w:eastAsia="Traditional Arabic" w:hAnsi="Traditional Arabic"/>
          <w:sz w:val="32"/>
          <w:szCs w:val="32"/>
          <w:rtl/>
        </w:rPr>
        <w:t xml:space="preserve">كذلك لو أن مسلمًا جديدًا أسلم في المراكز الإسلامية في الدول الغربية، وقيل له: جاء رمضان، والمسلمون يصومون رمضان، يمتنعون عن الطعام، فأصبح صائمًا، لكنه يشرب الماء، ولما سُئل: لماذا تشرب الماء؟ قال: أنا أظن أنه ممكن. نقول: صومه صحيح؛ لأنه يجهل، ولا يؤاخذ الإنسان إلا بعد العلم. المهم أن فعل المنهي عنه يؤاخذ به الإنسان إذا فعله بعد العلم، أما إذا كان جاهلًا فلا يؤاخذ.</w:t>
      </w:r>
    </w:p>
    <w:p>
      <w:pPr>
        <w:bidi/>
        <w:spacing w:after="200" w:line="360"/>
        <w:jc w:val="both"/>
      </w:pPr>
      <w:r>
        <w:rPr>
          <w:rFonts w:ascii="Traditional Arabic" w:cs="Traditional Arabic" w:eastAsia="Traditional Arabic" w:hAnsi="Traditional Arabic"/>
          <w:sz w:val="32"/>
          <w:szCs w:val="32"/>
          <w:rtl/>
        </w:rPr>
        <w:t xml:space="preserve">ثانيًا: كذلك لا بد أن يكون مع علمه ذاكرًا غير ناسٍ؛ فالذكر ضده النسيان، والناسي لا يؤاخذ بفعل المحظور، إنما يؤاخذ بترك المأمور؛ إذا نسي المأمور – نسي الصلاة – لا بد أن يأتي بها؛ لأنه قال: «من نسي صلاة فليصلّها إذا ذكرها، لا كفارة لها إلا ذلك». لكن من نسي ففعل المحرّم فلا شيء عليه؛ لأن الله قال: ﴿رَبَّنَا لَا تُؤَاخِذْنَا إِنْ نَسِينَا أَوْ أَخْطَأْنَا﴾، قال الله: «قد فعلت»، كما في صحيح مسلم وغيره، وقال عليه الصلاة والسلام: «إن الله تجاوز عن أمتي الخطأ والنسيان وما استُكرهوا عليه»، وهذا سنده حسن، ودلالته واضحة على أن الإنسان إذا فعل الحرام وهو ناسٍ لا يؤاخذ. فلو أن الإنسان أكل في نهار رمضان وهو ناسٍ، فصومه صحيح ولا شيء عليه، وكذلك إذا نسي الإنسان فتكلّم في الصلاة – مع أن الكلام في الصلاة حرام – فالصلاة صحيحة، ولا يطالب بالإعادة. إنما المحرّم أن يفعل الإنسان الشيء وعنده علم أنه حرام، وذاكر للحرام.</w:t>
      </w:r>
    </w:p>
    <w:p>
      <w:pPr>
        <w:bidi/>
        <w:spacing w:after="200" w:line="360"/>
        <w:jc w:val="both"/>
      </w:pPr>
      <w:r>
        <w:rPr>
          <w:rFonts w:ascii="Traditional Arabic" w:cs="Traditional Arabic" w:eastAsia="Traditional Arabic" w:hAnsi="Traditional Arabic"/>
          <w:sz w:val="32"/>
          <w:szCs w:val="32"/>
          <w:rtl/>
        </w:rPr>
        <w:t xml:space="preserve">ثالثًا: وعنده إرادة؛ أي أن يفعل الإنسان المنهي عنه وهو مريد لفعله. كيف مريد؟ يعني مختار، غير مكره. أما إذا أُكره، فلو فعل الحرام بالإكراه فلا إثم عليه. يدل على ذلك قوله عز وجل: ﴿مَنْ كَفَرَ بِاللَّهِ مِنْ بَعْدِ إِيمَانِهِ إِلَّا مَنْ أُكْرِهَ وَقَلْبُهُ مُطْمَئِنٌّ بِالْإِيمَانِ﴾؛ فالذي يُكره على كلمة الكفر، أو فعل الكفر، لا يؤاخذه الله على ذلك، فأجاز الله جل وعلا النطق بالكفر وفعله حالة الإكراه: ﴿إِلَّا مَنْ أُكْرِهَ﴾، مع شرط اطمئنان القلب بالإيمان. ويُقاس على ذلك باقي المنهيات من باب أولى؛ لأن أعظم الذنوب هي الشرك والكفر.</w:t>
      </w:r>
    </w:p>
    <w:p>
      <w:pPr>
        <w:bidi/>
        <w:spacing w:after="200" w:line="360"/>
        <w:jc w:val="both"/>
      </w:pPr>
      <w:r>
        <w:rPr>
          <w:rFonts w:ascii="Traditional Arabic" w:cs="Traditional Arabic" w:eastAsia="Traditional Arabic" w:hAnsi="Traditional Arabic"/>
          <w:sz w:val="32"/>
          <w:szCs w:val="32"/>
          <w:rtl/>
        </w:rPr>
        <w:t xml:space="preserve">لكن لو أُكره على القتل، أن يقتل الإنسان غيره، فهذا إكراه غير معتبر؛ لأن إبقاء نفسه ليس أولى من إبقاء نفس غيره؛ فالإكراه لا يدخل في القتل، كما نصّ على ذلك جماهير أهل العلم. لكن ما يفعله الإنسان في نفسه، أن يكفر بالله عز وجل، أو يفعل منكرًا خاصًّا به، وقد فعله مكرهًا، فلا إثم عليه، كما مرّ في الحديث: «إن الله تجاوز عن أمتي الخطأ والنسيان وما استُكرهوا عليه». فإذا أُكره الإنسان على فعل محرّم فلا أثر لهذا المنهي عنه.</w:t>
      </w:r>
    </w:p>
    <w:p>
      <w:pPr>
        <w:bidi/>
        <w:spacing w:after="200" w:line="360"/>
        <w:jc w:val="both"/>
      </w:pPr>
      <w:r>
        <w:rPr>
          <w:rFonts w:ascii="Traditional Arabic" w:cs="Traditional Arabic" w:eastAsia="Traditional Arabic" w:hAnsi="Traditional Arabic"/>
          <w:sz w:val="32"/>
          <w:szCs w:val="32"/>
          <w:rtl/>
        </w:rPr>
        <w:t xml:space="preserve">أما إذا اختلّ شرط من هذه الشروط الثلاثة فإنه لا يأثم، وإذا كان عالمًا ذاكرًا مريدًا للأمر المنهي عنه، فهذا هو الذي يؤاخذ.</w:t>
      </w:r>
    </w:p>
    <w:p>
      <w:pPr>
        <w:bidi/>
        <w:spacing w:after="200" w:line="360"/>
        <w:jc w:val="both"/>
      </w:pPr>
      <w:r>
        <w:rPr>
          <w:rFonts w:ascii="Traditional Arabic" w:cs="Traditional Arabic" w:eastAsia="Traditional Arabic" w:hAnsi="Traditional Arabic"/>
          <w:sz w:val="32"/>
          <w:szCs w:val="32"/>
          <w:rtl/>
        </w:rPr>
        <w:t xml:space="preserve">وفروع هذه القاعدة كثيرة؛ منها: محظورات الصوم، التي إذا وقع من المكلف منها شيء – من أكل أو شرب – ناسيًا، فإن صومه لا يفسد، ما دام فعلها الإنسان وهو ناسٍ؛ يقول النبي عليه الصلاة والسلام: «من أكل أو شرب ناسيًا فليتم صومه، فإنما أطعمه الله وسقاه»، قال أهل العلم: هذا كرامة من الله؛ لأن قول النبي عليه الصلاة والسلام: «أطعمه الله»، فالله هو الذي أطعمه، وهذا غاية ما يكون من الحلال؛ يعني أن الله ساق له هذا الخير، فلا يجد الإنسان في نفسه حرجًا، أو أنه يقضي هذا اليوم احتياطًا، كل هذا لا أصل له، تنطّع؛ فمن أكل أو شرب ناسيًا فليتم صومه، فإنما أطعمه الله وسقاه.</w:t>
      </w:r>
    </w:p>
    <w:p>
      <w:pPr>
        <w:bidi/>
        <w:spacing w:after="200" w:line="360"/>
        <w:jc w:val="both"/>
      </w:pPr>
      <w:r>
        <w:rPr>
          <w:rFonts w:ascii="Traditional Arabic" w:cs="Traditional Arabic" w:eastAsia="Traditional Arabic" w:hAnsi="Traditional Arabic"/>
          <w:sz w:val="32"/>
          <w:szCs w:val="32"/>
          <w:rtl/>
        </w:rPr>
        <w:t xml:space="preserve">فالمحظور لا يؤاخذ عليه الإنسان إلا باجتماع ثلاثة شروط: أن يكون عنده علم، وأن يكون ذاكرًا، وأن يكون مريدًا لفعل هذا المحظور.</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2026-10-15T09:49:43.013Z</dcterms:created>
  <dcterms:modified xsi:type="dcterms:W3CDTF">2026-10-15T09:49:43.014Z</dcterms:modified>
</cp:coreProperties>
</file>

<file path=docProps/custom.xml><?xml version="1.0" encoding="utf-8"?>
<Properties xmlns="http://schemas.openxmlformats.org/officeDocument/2006/custom-properties" xmlns:vt="http://schemas.openxmlformats.org/officeDocument/2006/docPropsVTypes"/>
</file>