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34</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وإمامنا وقدوتنا محمد بن عبد الله،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 «القواعد الفقهية».</w:t>
      </w:r>
    </w:p>
    <w:p>
      <w:pPr>
        <w:bidi/>
        <w:spacing w:after="200" w:line="360"/>
        <w:jc w:val="both"/>
      </w:pPr>
      <w:r>
        <w:rPr>
          <w:rFonts w:ascii="Traditional Arabic" w:cs="Traditional Arabic" w:eastAsia="Traditional Arabic" w:hAnsi="Traditional Arabic"/>
          <w:sz w:val="32"/>
          <w:szCs w:val="32"/>
          <w:rtl/>
        </w:rPr>
        <w:t xml:space="preserve">ومعنا في هذه الحلقة قاعدة أصولية، لكنها لا يخلو منها باب من أبواب الفقه، ولها تعلّق بالتقعيد الفقهي والاستدلال ووجه الدلالة، وإن كانت في الأصل قاعدة أصولية، وهي ما يعنون له أهل الأصول والفقهاء بقولهم: «الأمر المطلق عن القرائن يفيد الوجوب، وبالقرينة يفيد ما تفيده القرينة».</w:t>
      </w:r>
    </w:p>
    <w:p>
      <w:pPr>
        <w:bidi/>
        <w:spacing w:after="200" w:line="360"/>
        <w:jc w:val="both"/>
      </w:pPr>
      <w:r>
        <w:rPr>
          <w:rFonts w:ascii="Traditional Arabic" w:cs="Traditional Arabic" w:eastAsia="Traditional Arabic" w:hAnsi="Traditional Arabic"/>
          <w:sz w:val="32"/>
          <w:szCs w:val="32"/>
          <w:rtl/>
        </w:rPr>
        <w:t xml:space="preserve">هذا هو الأصل الذي ينبغي مراعاته عند جمهور الأصوليين والنظّار: أن الدليل إذا خرج مخرج الأمر فإنه يُحمل على الوجوب؛ فالأصل في الأوامر أنها للوجوب، إلا إذا اقترنت به قرينة تُخرجه عن هذا الأصل إلى غيره، فتنصرف دلالة هذا الأمر عن الوجوب بحسب ما اقترن به من قرائن؛ إذا دلّت القرينة على أنه مباح فمباح، أو دلّت القرينة على أنه ندب فندب.</w:t>
      </w:r>
    </w:p>
    <w:p>
      <w:pPr>
        <w:bidi/>
        <w:spacing w:after="200" w:line="360"/>
        <w:jc w:val="both"/>
      </w:pPr>
      <w:r>
        <w:rPr>
          <w:rFonts w:ascii="Traditional Arabic" w:cs="Traditional Arabic" w:eastAsia="Traditional Arabic" w:hAnsi="Traditional Arabic"/>
          <w:sz w:val="32"/>
          <w:szCs w:val="32"/>
          <w:rtl/>
        </w:rPr>
        <w:t xml:space="preserve">ونعني هنا بالأمر: طلب الفعل بالقول على وجه الاستعلاء. ولا يُشترط له الإرادة، خلافًا لمن قال ذلك من المتكلمين، ولا يُشترط لإفادته الوجوب اقترانه بعقوبة لتاركه، أو اقترانه بثواب لفاعله، وإنما يدل على الأمر مجرد الصيغة: صيغة الأمر، وهي «افعل» وما تصرّف منها.</w:t>
      </w:r>
    </w:p>
    <w:p>
      <w:pPr>
        <w:bidi/>
        <w:spacing w:after="200" w:line="360"/>
        <w:jc w:val="both"/>
      </w:pPr>
      <w:r>
        <w:rPr>
          <w:rFonts w:ascii="Traditional Arabic" w:cs="Traditional Arabic" w:eastAsia="Traditional Arabic" w:hAnsi="Traditional Arabic"/>
          <w:sz w:val="32"/>
          <w:szCs w:val="32"/>
          <w:rtl/>
        </w:rPr>
        <w:t xml:space="preserve">والذي يدل على ذلك – أي أن الأمر المطلق يدل على الوجوب – أمور:</w:t>
      </w:r>
    </w:p>
    <w:p>
      <w:pPr>
        <w:bidi/>
        <w:spacing w:after="200" w:line="360"/>
        <w:jc w:val="both"/>
      </w:pPr>
      <w:r>
        <w:rPr>
          <w:rFonts w:ascii="Traditional Arabic" w:cs="Traditional Arabic" w:eastAsia="Traditional Arabic" w:hAnsi="Traditional Arabic"/>
          <w:sz w:val="32"/>
          <w:szCs w:val="32"/>
          <w:rtl/>
        </w:rPr>
        <w:t xml:space="preserve">منها: قوله تعالى: ﴿فَلْيَحْذَرِ الَّذِينَ يُخَالِفُونَ عَنْ أَمْرِهِ أَنْ تُصِيبَهُمْ فِتْنَةٌ أَوْ يُصِيبَهُمْ عَذَابٌ أَلِيمٌ﴾؛ فتوعّد الله عز وجل على مخالفة أمر الرسول صلى الله عليه وسلم بالعذاب، والوعيد لا يكون إلا على ترك واجب، فدلّ على أن امتثال أمره واجب، وهو المطلوب.</w:t>
      </w:r>
    </w:p>
    <w:p>
      <w:pPr>
        <w:bidi/>
        <w:spacing w:after="200" w:line="360"/>
        <w:jc w:val="both"/>
      </w:pPr>
      <w:r>
        <w:rPr>
          <w:rFonts w:ascii="Traditional Arabic" w:cs="Traditional Arabic" w:eastAsia="Traditional Arabic" w:hAnsi="Traditional Arabic"/>
          <w:sz w:val="32"/>
          <w:szCs w:val="32"/>
          <w:rtl/>
        </w:rPr>
        <w:t xml:space="preserve">ومنها: قوله تعالى: ﴿وَإِذَا قِيلَ لَهُمُ ارْكَعُوا لَا يَرْكَعُونَ﴾، فتوعّدهم الله بالويل بقوله: ﴿وَيْلٌ يَوْمَئِذٍ لِلْمُكَذِّبِينَ﴾، فكان هذا التوعّد بالويل لأنهم خالفوا الأمر في صيغة ﴿ارْكَعُوا﴾؛ لأنهم لم يركعوا، مما يدل على أن الأمر كان واجبًا.</w:t>
      </w:r>
    </w:p>
    <w:p>
      <w:pPr>
        <w:bidi/>
        <w:spacing w:after="200" w:line="360"/>
        <w:jc w:val="both"/>
      </w:pPr>
      <w:r>
        <w:rPr>
          <w:rFonts w:ascii="Traditional Arabic" w:cs="Traditional Arabic" w:eastAsia="Traditional Arabic" w:hAnsi="Traditional Arabic"/>
          <w:sz w:val="32"/>
          <w:szCs w:val="32"/>
          <w:rtl/>
        </w:rPr>
        <w:t xml:space="preserve">ومنها: قوله تعالى: ﴿اسْجُدُوا لِآدَمَ فَسَجَدُوا إِلَّا إِبْلِيسَ لَمْ يَكُنْ مِنَ السَّاجِدِينَ * قَالَ مَا مَنَعَكَ أَلَّا تَسْجُدَ إِذْ أَمَرْتُكَ﴾؛ فذمّ الله عز وجل إبليس، وعاقبه بالعقوبة المعروفة؛ لأنه ترك السجود لآدم – سجود التحية – فذمّه الله عز وجل وعاقبه لأنه خالف الأمر ﴿اسْجُدُوا﴾، فدلّ ذلك على أن الأمر المجرد يقتضي الوجوب.</w:t>
      </w:r>
    </w:p>
    <w:p>
      <w:pPr>
        <w:bidi/>
        <w:spacing w:after="200" w:line="360"/>
        <w:jc w:val="both"/>
      </w:pPr>
      <w:r>
        <w:rPr>
          <w:rFonts w:ascii="Traditional Arabic" w:cs="Traditional Arabic" w:eastAsia="Traditional Arabic" w:hAnsi="Traditional Arabic"/>
          <w:sz w:val="32"/>
          <w:szCs w:val="32"/>
          <w:rtl/>
        </w:rPr>
        <w:t xml:space="preserve">ومن الأدلة من السنة: قوله عليه الصلاة والسلام: «لولا أن أشق على أمتي لأمرتهم بالسواك عند كل صلاة»، وفي حديث آخر: «مع كل وضوء». فدلّ ذلك دلالة واضحة على أنه لو أمرهم به لأصبح واجبًا، ولكن استلزم المشقة، فلم يأمرهم النبي صلى الله عليه وسلم؛ شفقةً منه ورحمة؛ لأن ذلك يستلزم المشقة على كل إنسان أن يستاك عند كل وضوء وصلاة إذا كان على وجه الأمر، فإن هذا لا شك فيه من المشقة ما فيه. فدلّ قوله عليه الصلاة والسلام: «لأمرتهم» على أن الأمر يفيد الوجوب، وهذا من أوضح الأدلة.</w:t>
      </w:r>
    </w:p>
    <w:p>
      <w:pPr>
        <w:bidi/>
        <w:spacing w:after="200" w:line="360"/>
        <w:jc w:val="both"/>
      </w:pPr>
      <w:r>
        <w:rPr>
          <w:rFonts w:ascii="Traditional Arabic" w:cs="Traditional Arabic" w:eastAsia="Traditional Arabic" w:hAnsi="Traditional Arabic"/>
          <w:sz w:val="32"/>
          <w:szCs w:val="32"/>
          <w:rtl/>
        </w:rPr>
        <w:t xml:space="preserve">كذلك قالوا من المعقول مما يدل على أن الأمر يفيد الوجوب: قالوا: لو أن السيد قال لخادمه، وأمره بأمر، فلم يمتثل الأمر وخالفه، فعاقبه على هذه المخالفة، لم يُلَم على عقابه باتفاق العقلاء، ولولا إفادة الأمر المجرد للوجوب لاتّجه اللوم للسيد، لكنه لا يتّجه لومه؛ إذا أمر خادمه فعصاه فعاقبه، بأن خصم من حقه من الراتب، لا يتّجه اللوم عليه؛ لأنه أمره فلم يمتثل. فهذا يدل عقلًا على أن الأمر المجرد يدل على الوجوب.</w:t>
      </w:r>
    </w:p>
    <w:p>
      <w:pPr>
        <w:bidi/>
        <w:spacing w:after="200" w:line="360"/>
        <w:jc w:val="both"/>
      </w:pPr>
      <w:r>
        <w:rPr>
          <w:rFonts w:ascii="Traditional Arabic" w:cs="Traditional Arabic" w:eastAsia="Traditional Arabic" w:hAnsi="Traditional Arabic"/>
          <w:sz w:val="32"/>
          <w:szCs w:val="32"/>
          <w:rtl/>
        </w:rPr>
        <w:t xml:space="preserve">إذا عُلم هذا فليُعلم أن هذه القاعدة مطّردة في جميع الفروع، فلا يشذ منها شيء؛ فكل أمر ورد بصيغته المقررة عند الأصوليين – سواء في القرآن أو في السنة – فالواجب بمقتضى الأدلة هو حمله على الوجوب مباشرة، بحيث يُثاب فاعله امتثالًا، ويستحق العقاب تاركه، إلا إذا اقترنت بهذا الأمر قرينة تصرفه عن بابه إلى شيء آخر، سواء كانت قرينة متصلة أو منفصلة، فإننا نحمل الأمر في هذه الحالة على ما دلّت عليه هذه القرينة. هذا هو مجمل هذه القاعدة الأصولية، وكما قلنا هي تقعيد فقهي؛ يستدل الفقهاء في كثير من النصوص على أنها واجبة. لِمَ؟ لدلالتها على الوجوب، أو وجه الدلالة، فيقولون: وجه الدلالة أن هذا النص جاء على صيغة «افعل»، وعلى صيغة الأمر، والأصل في الأوامر أنها للوجوب.</w:t>
      </w:r>
    </w:p>
    <w:p>
      <w:pPr>
        <w:bidi/>
        <w:spacing w:after="200" w:line="360"/>
        <w:jc w:val="both"/>
      </w:pPr>
      <w:r>
        <w:rPr>
          <w:rFonts w:ascii="Traditional Arabic" w:cs="Traditional Arabic" w:eastAsia="Traditional Arabic" w:hAnsi="Traditional Arabic"/>
          <w:sz w:val="32"/>
          <w:szCs w:val="32"/>
          <w:rtl/>
        </w:rPr>
        <w:t xml:space="preserve">وإليك فروع هذه القاعدة، وهي كثيرة:</w:t>
      </w:r>
    </w:p>
    <w:p>
      <w:pPr>
        <w:bidi/>
        <w:spacing w:after="200" w:line="360"/>
        <w:jc w:val="both"/>
      </w:pPr>
      <w:r>
        <w:rPr>
          <w:rFonts w:ascii="Traditional Arabic" w:cs="Traditional Arabic" w:eastAsia="Traditional Arabic" w:hAnsi="Traditional Arabic"/>
          <w:sz w:val="32"/>
          <w:szCs w:val="32"/>
          <w:rtl/>
        </w:rPr>
        <w:t xml:space="preserve">منها: الأمر بالصلاة والزكاة والحج والصوم وبرّ الوالدين، كل ذلك واجب؛ لأن الله عز وجل قال في الصلاة: ﴿أَقِيمُوا﴾، ولم يأتِ صارف يصرفه عن الوجوب، وقال في الزكاة: ﴿وَآتُوا الزَّكَاةَ﴾، فدلّ على وجوب الزكاة، وقال في الحج: ﴿وَلِلَّهِ عَلَى النَّاسِ حِجُّ الْبَيْتِ﴾، وقال صلى الله عليه وسلم: «إن الله كتب عليكم الحج فحجّوا»، وهذا فعل أمر. وقوله تعالى: ﴿كُتِبَ عَلَيْكُمُ الصِّيَامُ﴾، و«كُتب» بمعنى فُرض، وقال الله عز وجل: ﴿فَمَنْ شَهِدَ مِنْكُمُ الشَّهْرَ فَلْيَصُمْهُ﴾، وهي صيغة أمر، كذلك قوله عليه الصلاة والسلام: «صوموا لرؤيته»؛ دلّت هذه الأوامر على أن الصيام واجب في ذمة العبد. وكذلك قال عليه الصلاة والسلام: «برّوا آباءكم»، مع قوله تعالى: ﴿وَبِالْوَالِدَيْنِ إِحْسَانًا﴾، و«إحسانًا» من المفعول المطلق، على تقدير: أحسنوا بالوالدين إحسانًا، وكذلك قوله عليه الصلاة والسلام: «برّوا آباءكم».</w:t>
      </w:r>
    </w:p>
    <w:p>
      <w:pPr>
        <w:bidi/>
        <w:spacing w:after="200" w:line="360"/>
        <w:jc w:val="both"/>
      </w:pPr>
      <w:r>
        <w:rPr>
          <w:rFonts w:ascii="Traditional Arabic" w:cs="Traditional Arabic" w:eastAsia="Traditional Arabic" w:hAnsi="Traditional Arabic"/>
          <w:sz w:val="32"/>
          <w:szCs w:val="32"/>
          <w:rtl/>
        </w:rPr>
        <w:t xml:space="preserve">فكل هذه أوامر محمولة على الوجوب؛ لأن الأصل في الأمر إذا جاء أنه يدل على الوجوب عند عدم وجود القرينة الصارفة للوجوب إلى غيره، وهنا لا توجد صوارف لهذا الوجوب في هذه الآيات وفي هذه الأمثلة. فنقول في مثلها: هذه الآيات تدل على أن الصلاة واجبة؛ لأن وجه الدلالة أنه جاء الأمر بها في قوله: ﴿أَقِيمُوا﴾، و«أقيموا» من صيغ الأمر، وصيغ الأمر تدل على الوجوب. والزكاة واجبة؛ لأن الله أمر بها في قوله: ﴿وَآتُوا الزَّكَاةَ﴾، ووجه الدلالة من الآية: أن الله أمر بإيتائها، والأمر يقتضي الوجوب ما لم تقترن به قرينة صارفة عن الوجوب، ولا قرينة. وهكذا.</w:t>
      </w:r>
    </w:p>
    <w:p>
      <w:pPr>
        <w:bidi/>
        <w:spacing w:after="200" w:line="360"/>
        <w:jc w:val="both"/>
      </w:pPr>
      <w:r>
        <w:rPr>
          <w:rFonts w:ascii="Traditional Arabic" w:cs="Traditional Arabic" w:eastAsia="Traditional Arabic" w:hAnsi="Traditional Arabic"/>
          <w:sz w:val="32"/>
          <w:szCs w:val="32"/>
          <w:rtl/>
        </w:rPr>
        <w:t xml:space="preserve">ومنها: قوله عليه الصلاة والسلام: «صلّوا كما رأيتموني أصلي»، رواه البخاري؛ ففيه أمر في قوله: «صلّوا»، فيُحمل ذلك الأمر على الوجوب، فكل فعل فعله عليه الصلاة والسلام في الصلاة فإنه واجب، إلا ما دلّت القرينة على أنه سنة، فيخرج من هذا العموم.</w:t>
      </w:r>
    </w:p>
    <w:p>
      <w:pPr>
        <w:bidi/>
        <w:spacing w:after="200" w:line="360"/>
        <w:jc w:val="both"/>
      </w:pPr>
      <w:r>
        <w:rPr>
          <w:rFonts w:ascii="Traditional Arabic" w:cs="Traditional Arabic" w:eastAsia="Traditional Arabic" w:hAnsi="Traditional Arabic"/>
          <w:sz w:val="32"/>
          <w:szCs w:val="32"/>
          <w:rtl/>
        </w:rPr>
        <w:t xml:space="preserve">وفي قوله عليه الصلاة والسلام: «صلّوا كما رأيتموني أصلي» ملحظ عظيم في أن العبادة – الصلاة – لا بد أن تكون موافقة لهدي النبي عليه الصلاة والسلام في الصلاة: كيف كان يركع؟ ماذا يقول في الركوع؟ ماذا يقول إذا سمع الإمام يقرأ؟ ماذا يقول في السجود؟ ماذا يقول إذا رفع من الركوع؟ ومن هذا نعلم خطأ ما يقوله بعض المصلين: أنه عندما يقرأ الإمام الفاتحة، فيقول: ﴿إِيَّاكَ نَعْبُدُ وَإِيَّاكَ نَسْتَعِينُ﴾، تسمع بعض المصلين يقول: «استعنّا بالله»؛ دائمًا عند ﴿إِيَّاكَ نَعْبُدُ وَإِيَّاكَ نَسْتَعِينُ﴾ يقول: استعنّا بالله. نقول: هل كان النبي عليه الصلاة والسلام يسمح بذلك، أو يقول ذلك، أو أرشد إليه؟ لا شك أن هذا غير موجود. إذا كان كذلك فنقول: أنت هنا خالفت قول النبي عليه الصلاة والسلام: «صلّوا كما رأيتموني أصلي»، والأصل أن تأتي بالصلاة على وفق ما جاء عن النبي صلى الله عليه وسلم، والأصل ألّا يخالف المسلم هديه عليه الصلاة والسلام. فقوله: «صلّوا كما رأيتموني أصلي» يدل على أن كل أفعال الصلاة واجبة، إلا ما دلّت القرينة على أنه سنة، فيخرج من هذا العموم، وتبقى باقي الأفعال والأقوال على الوجوب بهذا الأمر.</w:t>
      </w:r>
    </w:p>
    <w:p>
      <w:pPr>
        <w:bidi/>
        <w:spacing w:after="200" w:line="360"/>
        <w:jc w:val="both"/>
      </w:pPr>
      <w:r>
        <w:rPr>
          <w:rFonts w:ascii="Traditional Arabic" w:cs="Traditional Arabic" w:eastAsia="Traditional Arabic" w:hAnsi="Traditional Arabic"/>
          <w:sz w:val="32"/>
          <w:szCs w:val="32"/>
          <w:rtl/>
        </w:rPr>
        <w:t xml:space="preserve">كذلك حديثه عليه الصلاة والسلام للذي أساء في صلاته، خرج مخرج الأمر، قال له عليه الصلاة والسلام: «أسبغ الوضوء، ثم استقبل القبلة، فكبّر، ثم اقرأ ما تيسّر معك من القرآن» إلى آخر الحديث؛ كل ذلك خرج بصيغة الأمر، على صيغة «افعل»: أسبغ، استقبل، كبّر، اقرأ، فيُحمل على الوجوب، إلا فيما وردت فيه قرينة تصرفه عن بابه إلى الندب، فيُحمل على الندب، وهكذا. فالأصل في الأوامر – أيها الإخوة – أنها تدل على وجوب المأمور به.</w:t>
      </w:r>
    </w:p>
    <w:p>
      <w:pPr>
        <w:bidi/>
        <w:spacing w:after="200" w:line="360"/>
        <w:jc w:val="both"/>
      </w:pPr>
      <w:r>
        <w:rPr>
          <w:rFonts w:ascii="Traditional Arabic" w:cs="Traditional Arabic" w:eastAsia="Traditional Arabic" w:hAnsi="Traditional Arabic"/>
          <w:sz w:val="32"/>
          <w:szCs w:val="32"/>
          <w:rtl/>
        </w:rPr>
        <w:t xml:space="preserve">وكذلك في قوله عليه الصلاة والسلام في الحج: «خذوا عني مناسككم» دليل على أن كل شيء فعله عليه الصلاة والسلام في حجة الوداع أنه للوجوب؛ لأمره به: «خذوا»، والأمر للوجوب، إلا ما دلّت القرائن على صرفه عن بابه إلى الندب، فيُحمل هذا الأمر على الندب لوجود قرينة، وإلا فالأصل العام: لا يجوز أن نُخرج هذه الأشياء من الحج من الوجوب إلى السنية، اللهم إلا بالقرينة الصارفة.</w:t>
      </w:r>
    </w:p>
    <w:p>
      <w:pPr>
        <w:bidi/>
        <w:spacing w:after="200" w:line="360"/>
        <w:jc w:val="both"/>
      </w:pPr>
      <w:r>
        <w:rPr>
          <w:rFonts w:ascii="Traditional Arabic" w:cs="Traditional Arabic" w:eastAsia="Traditional Arabic" w:hAnsi="Traditional Arabic"/>
          <w:sz w:val="32"/>
          <w:szCs w:val="32"/>
          <w:rtl/>
        </w:rPr>
        <w:t xml:space="preserve">أما الأصل فالأصل أن الأمر المطلق عن القرائن يفيد الوجوب، هذا هو الأصل في أوامر الكتاب والسنة: أننا نحملها على الوجوب، ولا نقول: إن هذا مستحب، أو هذا مندوب، مع أن أمامنا نصًّا فيه أمر، إلا أن نقرن هذا التحويل – من الوجوب إلى الندب، أو من الوجوب إلى الاستحباب، أو إلى الإباحة – بقرينة صارفة، فلا يُصرف إلا بقرينة دلّت عليه.</w:t>
      </w:r>
    </w:p>
    <w:p>
      <w:pPr>
        <w:bidi/>
        <w:spacing w:after="200" w:line="360"/>
        <w:jc w:val="both"/>
      </w:pPr>
      <w:r>
        <w:rPr>
          <w:rFonts w:ascii="Traditional Arabic" w:cs="Traditional Arabic" w:eastAsia="Traditional Arabic" w:hAnsi="Traditional Arabic"/>
          <w:sz w:val="32"/>
          <w:szCs w:val="32"/>
          <w:rtl/>
        </w:rPr>
        <w:t xml:space="preserve">نكتفي بهذا القدر، والله أعلم،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2026-10-15T09:49:43.566Z</dcterms:created>
  <dcterms:modified xsi:type="dcterms:W3CDTF">2026-10-15T09:49:43.566Z</dcterms:modified>
</cp:coreProperties>
</file>

<file path=docProps/custom.xml><?xml version="1.0" encoding="utf-8"?>
<Properties xmlns="http://schemas.openxmlformats.org/officeDocument/2006/custom-properties" xmlns:vt="http://schemas.openxmlformats.org/officeDocument/2006/docPropsVTypes"/>
</file>