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35</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من القواعد الفقهية والضوابط المهمة، وخاصة في باب الكفارات، ما يثبته الفقهاء بقولهم: «من كرّر محظورًا من جنس واحد، وموجَبه واحد، أجزأ عن الجميع فعلٌ واحد، إن لم يُخرج موجَب الأول».</w:t>
      </w:r>
    </w:p>
    <w:p>
      <w:pPr>
        <w:bidi/>
        <w:spacing w:after="200" w:line="360"/>
        <w:jc w:val="both"/>
      </w:pPr>
      <w:r>
        <w:rPr>
          <w:rFonts w:ascii="Traditional Arabic" w:cs="Traditional Arabic" w:eastAsia="Traditional Arabic" w:hAnsi="Traditional Arabic"/>
          <w:sz w:val="32"/>
          <w:szCs w:val="32"/>
          <w:rtl/>
        </w:rPr>
        <w:t xml:space="preserve">لا بد أن نعلم أن المحرّمات عندنا قسمان: إما محرّم شُرع فيه كفارة أو حدّ؛ من فعل كذا فعليه كذا، من كفارة، أو حد، أو عقوبة شرعية مقدّرة. وإما محرّم لا كفارة فيه ولا حد، والأصل عدم الكفارة إلا بدليل.</w:t>
      </w:r>
    </w:p>
    <w:p>
      <w:pPr>
        <w:bidi/>
        <w:spacing w:after="200" w:line="360"/>
        <w:jc w:val="both"/>
      </w:pPr>
      <w:r>
        <w:rPr>
          <w:rFonts w:ascii="Traditional Arabic" w:cs="Traditional Arabic" w:eastAsia="Traditional Arabic" w:hAnsi="Traditional Arabic"/>
          <w:sz w:val="32"/>
          <w:szCs w:val="32"/>
          <w:rtl/>
        </w:rPr>
        <w:t xml:space="preserve">وهذه القاعدة التي معنا هي في المحرّمات التي توجب كفارة أو حدًّا، وذلك كالجماع في نهار رمضان، وكذلك فعل محظورات الإحرام، وفعل السرقة؛ لأنه محرّم عليه حد، والزنا محرّم عليه حد، وقطع الطريق، والحنث في اليمين – الأصل أنه محرّم الحنث في اليمين، وجعل الله للمؤمنين مخرجًا في الكفارة – والنذر، والظهار، أن يظاهر الرجل من امرأته، ونحو ذلك من أفعال محرّمة. فهذه الأشياء يترتب على فعلها حد أو كفارة؛ فإذا فعلها الإنسان فإنه يجب عليه أثرها، من حد أو كفارة.</w:t>
      </w:r>
    </w:p>
    <w:p>
      <w:pPr>
        <w:bidi/>
        <w:spacing w:after="200" w:line="360"/>
        <w:jc w:val="both"/>
      </w:pPr>
      <w:r>
        <w:rPr>
          <w:rFonts w:ascii="Traditional Arabic" w:cs="Traditional Arabic" w:eastAsia="Traditional Arabic" w:hAnsi="Traditional Arabic"/>
          <w:sz w:val="32"/>
          <w:szCs w:val="32"/>
          <w:rtl/>
        </w:rPr>
        <w:t xml:space="preserve">لكن ما الحكم لو كرّر هذا المحظور مرة ومرة ومرة؟ هل يلزمه كفارة واحدة، أو كفارة لكل فعل؟ هذا هو مناط قاعدتنا في هذه الحلقة. وحتى يتضح الأمر أكثر أقول: إنه إذا فعل الإنسان محظورًا مما مضى ذكره، ثم فعل محظورًا آخر، فلا يخلو من حالتين:</w:t>
      </w:r>
    </w:p>
    <w:p>
      <w:pPr>
        <w:bidi/>
        <w:spacing w:after="200" w:line="360"/>
        <w:jc w:val="both"/>
      </w:pPr>
      <w:r>
        <w:rPr>
          <w:rFonts w:ascii="Traditional Arabic" w:cs="Traditional Arabic" w:eastAsia="Traditional Arabic" w:hAnsi="Traditional Arabic"/>
          <w:sz w:val="32"/>
          <w:szCs w:val="32"/>
          <w:rtl/>
        </w:rPr>
        <w:t xml:space="preserve">إما أن يكون المحظور الثاني من جنس المحظور الأول؛ أي سرقة ثم سرقة ثم سرقة، أو زنا ثم زنا، أو يمين على شيء معيّن: والله لا أكلّم فلانًا، ثم بعد فترة: والله لا أكلّمه، كرّر اليمين على شيء واحد، أو قطع طريق الناس مرة ومرتين وثلاثًا وأربعًا. هذه الحالة الأولى.</w:t>
      </w:r>
    </w:p>
    <w:p>
      <w:pPr>
        <w:bidi/>
        <w:spacing w:after="200" w:line="360"/>
        <w:jc w:val="both"/>
      </w:pPr>
      <w:r>
        <w:rPr>
          <w:rFonts w:ascii="Traditional Arabic" w:cs="Traditional Arabic" w:eastAsia="Traditional Arabic" w:hAnsi="Traditional Arabic"/>
          <w:sz w:val="32"/>
          <w:szCs w:val="32"/>
          <w:rtl/>
        </w:rPr>
        <w:t xml:space="preserve">وإما أن يكون المحظور الثاني ليس من جنس المحظور الأول؛ يعني فعل المحظور الأول، سرق، ثم بعدها وقع في محظور آخر، من الزنا، أو قتل مرة، وهكذا.</w:t>
      </w:r>
    </w:p>
    <w:p>
      <w:pPr>
        <w:bidi/>
        <w:spacing w:after="200" w:line="360"/>
        <w:jc w:val="both"/>
      </w:pPr>
      <w:r>
        <w:rPr>
          <w:rFonts w:ascii="Traditional Arabic" w:cs="Traditional Arabic" w:eastAsia="Traditional Arabic" w:hAnsi="Traditional Arabic"/>
          <w:sz w:val="32"/>
          <w:szCs w:val="32"/>
          <w:rtl/>
        </w:rPr>
        <w:t xml:space="preserve">فإن كان المحظور الثاني من غير جنس المحظور الأول، فإن فعل المحظور الثاني يوجب شيئًا جديدًا هو أثره، من حد أو كفارة؛ فيكون عليه حدّان، أو يكون عليه كفارتان، أو يكون عليه حد وكفارة. فإذا زنى البكر وسرق، وجب عليه جلد مئة للزنا وتغريب عام، وقطع اليد اليمنى للسرقة؛ فلا تداخل هنا. كذلك الكفارة؛ فإذا جامع في نهار رمضان – وهذا محظور عليه كفارة – ثم حلق شعره وهو محرم، وجب عليه كفارة الجماع في نهار رمضان، ووجب عليه كفارة هذا المحظور في الحج؛ لعدم تداخل هذين المحظورين بعضهما في بعض.</w:t>
      </w:r>
    </w:p>
    <w:p>
      <w:pPr>
        <w:bidi/>
        <w:spacing w:after="200" w:line="360"/>
        <w:jc w:val="both"/>
      </w:pPr>
      <w:r>
        <w:rPr>
          <w:rFonts w:ascii="Traditional Arabic" w:cs="Traditional Arabic" w:eastAsia="Traditional Arabic" w:hAnsi="Traditional Arabic"/>
          <w:sz w:val="32"/>
          <w:szCs w:val="32"/>
          <w:rtl/>
        </w:rPr>
        <w:t xml:space="preserve">أما إذا كان المحظور الثاني مثل المحظور الأول، من جنسه، فلا يخلو من حالتين: إما أن يكون أخرج موجَب الأول قبل فعل الثاني، أو لا.</w:t>
      </w:r>
    </w:p>
    <w:p>
      <w:pPr>
        <w:bidi/>
        <w:spacing w:after="200" w:line="360"/>
        <w:jc w:val="both"/>
      </w:pPr>
      <w:r>
        <w:rPr>
          <w:rFonts w:ascii="Traditional Arabic" w:cs="Traditional Arabic" w:eastAsia="Traditional Arabic" w:hAnsi="Traditional Arabic"/>
          <w:sz w:val="32"/>
          <w:szCs w:val="32"/>
          <w:rtl/>
        </w:rPr>
        <w:t xml:space="preserve">فإن كان قد أخرج موجَب الأول قبل فعل المحظور الثاني، فإن فعل الثاني يوجب عليه كفارة أو حدًّا آخر. وبالمثال يتضح ذلك؛ يعني من سرق – إنسان سرق، وتحققت فيه شروط القطع؛ وليس كل من سرق في الشريعة تُقطع يده، لا بد من مطالبة المسروق منه، ولا بد أن يسرق من حرز، يعني من حرز معتبر، أما من وجد مثلًا ذهبًا في الشارع، ويعلم أنه ليس له، أو في حقيبة، فأخذها وتخفّى عن الناس، فهذا لا تُقطع يده؛ لأنه لم يأخذ هذا المال من الحرز، نعم يعاقبه ولي الأمر ويعزّره، لكن بدون القطع.</w:t>
      </w:r>
    </w:p>
    <w:p>
      <w:pPr>
        <w:bidi/>
        <w:spacing w:after="200" w:line="360"/>
        <w:jc w:val="both"/>
      </w:pPr>
      <w:r>
        <w:rPr>
          <w:rFonts w:ascii="Traditional Arabic" w:cs="Traditional Arabic" w:eastAsia="Traditional Arabic" w:hAnsi="Traditional Arabic"/>
          <w:sz w:val="32"/>
          <w:szCs w:val="32"/>
          <w:rtl/>
        </w:rPr>
        <w:t xml:space="preserve">وأنتم ترون أن شروط قطع اليد في الإسلام في السارق تضييق: أن يكون المسروق ربع دينار فأكثر ذهبًا، وأن يسرق من حرز مثله، وأن لا يكون له شبهة في هذا المال، وأن لا يكون هناك مجاعة، وأمور كثيرة منها ما يجب تحققه في السارق حتى تُقطع يده. وهذا ليس موضوع الحديث، وإنما توضيح لهذا الحد، وما عليه من شبهات العقلانيين اليوم؛ وبعضهم يقول: لو أجرينا حد السرقة لقطعنا نصف أيدي الشعب! هذا قاله بعضهم، وهذا غلط لا شك، وهذا منكر من القول، وتدليس على الحقيقة، بل لو قُطعت يد واحد أو اثنين لكفّ الناس عن السرقة.</w:t>
      </w:r>
    </w:p>
    <w:p>
      <w:pPr>
        <w:bidi/>
        <w:spacing w:after="200" w:line="360"/>
        <w:jc w:val="both"/>
      </w:pPr>
      <w:r>
        <w:rPr>
          <w:rFonts w:ascii="Traditional Arabic" w:cs="Traditional Arabic" w:eastAsia="Traditional Arabic" w:hAnsi="Traditional Arabic"/>
          <w:sz w:val="32"/>
          <w:szCs w:val="32"/>
          <w:rtl/>
        </w:rPr>
        <w:t xml:space="preserve">المهم أن من سرق ثم قُطعت يده، ثم سرق مرة أخرى، فإنه يجب عليه قطع آخر. وكذلك من زنى، فعل هذا المحظور، فأقيم عليه الحد، ثم بعد فترة زنى مرة أخرى، فإنه يجب عليه حد جديد إن كان بكرًا، أما الثيّب فحدّه الرجم بشروطه المعروفة.</w:t>
      </w:r>
    </w:p>
    <w:p>
      <w:pPr>
        <w:bidi/>
        <w:spacing w:after="200" w:line="360"/>
        <w:jc w:val="both"/>
      </w:pPr>
      <w:r>
        <w:rPr>
          <w:rFonts w:ascii="Traditional Arabic" w:cs="Traditional Arabic" w:eastAsia="Traditional Arabic" w:hAnsi="Traditional Arabic"/>
          <w:sz w:val="32"/>
          <w:szCs w:val="32"/>
          <w:rtl/>
        </w:rPr>
        <w:t xml:space="preserve">وأما إذا لم يُخرج موجَب الأول حتى فعل الثاني، فإنه في هذه الحالة أجزأ عن المحظورين – الأول والثاني – كفارة واحدة، أو حد واحد. ولذلك نقول: تتداخل الحدود أو الكفارات بشرطين: إذا كان المحظور من جنس واحد، وإذا لم يُخرج موجَب الأول.</w:t>
      </w:r>
    </w:p>
    <w:p>
      <w:pPr>
        <w:bidi/>
        <w:spacing w:after="200" w:line="360"/>
        <w:jc w:val="both"/>
      </w:pPr>
      <w:r>
        <w:rPr>
          <w:rFonts w:ascii="Traditional Arabic" w:cs="Traditional Arabic" w:eastAsia="Traditional Arabic" w:hAnsi="Traditional Arabic"/>
          <w:sz w:val="32"/>
          <w:szCs w:val="32"/>
          <w:rtl/>
        </w:rPr>
        <w:t xml:space="preserve">يعني إن زنى الإنسان مرة ومرتين وثلاثًا وأربعًا – يعني إذا زنى البكر مرارًا – فهل يلزمه لكل زنا حد، أم يُسقط الجميعَ حدٌّ واحد؟ الجواب على التفصيل السابق، نقول: إن كان ما حُدّ ولا مرة فيكفي عن الجميع حد واحد؛ لأنه محظور واحد، ولم يُحدّ للزنا الأول. أما إذا حُدّ للزنا الأول، ثم زنى، وجب عليه للثاني حد جديد، وهكذا.</w:t>
      </w:r>
    </w:p>
    <w:p>
      <w:pPr>
        <w:bidi/>
        <w:spacing w:after="200" w:line="360"/>
        <w:jc w:val="both"/>
      </w:pPr>
      <w:r>
        <w:rPr>
          <w:rFonts w:ascii="Traditional Arabic" w:cs="Traditional Arabic" w:eastAsia="Traditional Arabic" w:hAnsi="Traditional Arabic"/>
          <w:sz w:val="32"/>
          <w:szCs w:val="32"/>
          <w:rtl/>
        </w:rPr>
        <w:t xml:space="preserve">فنقول: هل الكفارات تتداخل أو لا تتداخل؟ نقول: على التفصيل، كذلك الحدود: هل تتداخل أو لا تتداخل؟ نقول: هل الحدود من جنس واحد؟ هذا السؤال الأول. فإذا قال: نعم، نقول: هل حُدّ على الفعل الأول؟ فإذا قال: لا، نقول: كل هذه الحدود يُحدّ لها مرة واحدة.</w:t>
      </w:r>
    </w:p>
    <w:p>
      <w:pPr>
        <w:bidi/>
        <w:spacing w:after="200" w:line="360"/>
        <w:jc w:val="both"/>
      </w:pPr>
      <w:r>
        <w:rPr>
          <w:rFonts w:ascii="Traditional Arabic" w:cs="Traditional Arabic" w:eastAsia="Traditional Arabic" w:hAnsi="Traditional Arabic"/>
          <w:sz w:val="32"/>
          <w:szCs w:val="32"/>
          <w:rtl/>
        </w:rPr>
        <w:t xml:space="preserve">كذلك من حلف على يمين معيّن، ثم كرّرها، وحنث: والله لا أكلّم فلانًا – نفس الشخص – ثم كرّرها، ثم كلّمه، فهل تلزمه كفارة واحدة، أم كفارات متعددة؟ هنا ننظر، فنقول: هل المحلوف عليه شيء واحد؟ نعم، المحلوف عليه شيء واحد، ألّا يكلّمه، أو متعدد: ألّا يكلّمه، ولا يزوره؟ فهنا اختلف الموضوع، أو: لا أكلّمه، ولا أهديه شيئًا، أو: لا أكلّمه، ولا أقرضه؛ فهنا اختلف المحلوف عليه، فلكل يمين كفارة وحدها؛ لأن المحلوف عليه ليس من جنس واحد. وإن كان المحلوف عليه واحدًا: لا أكلّمه، والله لا أكلّمه، ثم في اليوم الثالث حلف أنه لا يكلّمه، فنقول: هل كفّرت؟ قال: لا، ثم كلّمه، نقول: تكفيك كفارة واحدة؛ لأنه حلف على شيء واحد، فأجزأ عن الجميع كفارة واحدة. أما إذا حلف ألّا يكلّمه، ثم كلّمه، فكفّر عن يمينه، ثم بعد يومين حلف ألّا يكلّمه، ثم كلّمه، فعليه كفارة جديدة.</w:t>
      </w:r>
    </w:p>
    <w:p>
      <w:pPr>
        <w:bidi/>
        <w:spacing w:after="200" w:line="360"/>
        <w:jc w:val="both"/>
      </w:pPr>
      <w:r>
        <w:rPr>
          <w:rFonts w:ascii="Traditional Arabic" w:cs="Traditional Arabic" w:eastAsia="Traditional Arabic" w:hAnsi="Traditional Arabic"/>
          <w:sz w:val="32"/>
          <w:szCs w:val="32"/>
          <w:rtl/>
        </w:rPr>
        <w:t xml:space="preserve">وبالمناسبة، كفارة اليمين – يا إخوان – فيها خطأ شائع عندنا: إذا حلف الإنسان على شيء، ثم لم يفعل صاحبه ما حلف عليه، قال: يا فلان لا تصوّمني، لا تجعلني أصوم! عليّ الكفارة! من قال لنا: إن كفارة الحلف أولًا الصيام؟ هذا غلط، حتى لو صامها وهو قادر على الإطعام فإنه لا تُجزئه. فالكفارة: ﴿إِطْعَامُ عَشَرَةِ مَسَاكِينَ مِنْ أَوْسَطِ مَا تُطْعِمُونَ أَهْلِيكُمْ أَوْ كِسْوَتُهُمْ أَوْ تَحْرِيرُ رَقَبَةٍ فَمَنْ لَمْ يَجِدْ فَصِيَامُ ثَلَاثَةِ أَيَّامٍ﴾. أما الذهاب مباشرة إلى الصيام فهذا غلط، خلاف الآية؛ لأن الآية رتّبت الكفارات؛ لا تنتقل؛ فالخيارات بين ثلاثة: الإطعام، والكسوة، والتحرير، ثم رتّبت إذا لم يجد ذلك: ﴿فَمَنْ لَمْ يَجِدْ فَصِيَامُ ثَلَاثَةِ أَيَّامٍ﴾. فالصيام ينتقل إليه المرء في كفارة اليمين عندما يعجز عن الإطعام؛ يعجز أنه يأتي بطعام يغدّي عشرة، أو بعشاء يعشّي عشرة، يعني يعجز أن يشتري مثلًا عشر وجبات – لنفرض أن الوجبة بدينار – يعجز أنه لا يملك، وهذا يعني أنه لا يملك – زائدة عن حاجته الأصلية – عشرة دنانير يشتري بها عشر وجبات، يعطيها للفقراء والمساكين، أو الذين على الطرقات من المسلمين، كل واحد وجبة؛ هذه كفارة اليمين.</w:t>
      </w:r>
    </w:p>
    <w:p>
      <w:pPr>
        <w:bidi/>
        <w:spacing w:after="200" w:line="360"/>
        <w:jc w:val="both"/>
      </w:pPr>
      <w:r>
        <w:rPr>
          <w:rFonts w:ascii="Traditional Arabic" w:cs="Traditional Arabic" w:eastAsia="Traditional Arabic" w:hAnsi="Traditional Arabic"/>
          <w:sz w:val="32"/>
          <w:szCs w:val="32"/>
          <w:rtl/>
        </w:rPr>
        <w:t xml:space="preserve">فالكفارة الأصل فيها الإطعام أو الكسوة؛ يختار. فإن قال: أنا أريد أن أشتري الكسوة، لكل واحد ثوبًا، أو كسوة صلاة – قالوا: إن ضابط الكسوة هو ما يصلح أن يصلي فيه – فلو اشترى لكل واحد ثوبًا فهذه كفارة اليمين، بشرط أنه نوى أن هذه كفارة اليمين. أما أن ينتقل إلى الصيام مباشرة فلا يصح ذلك.</w:t>
      </w:r>
    </w:p>
    <w:p>
      <w:pPr>
        <w:bidi/>
        <w:spacing w:after="200" w:line="360"/>
        <w:jc w:val="both"/>
      </w:pPr>
      <w:r>
        <w:rPr>
          <w:rFonts w:ascii="Traditional Arabic" w:cs="Traditional Arabic" w:eastAsia="Traditional Arabic" w:hAnsi="Traditional Arabic"/>
          <w:sz w:val="32"/>
          <w:szCs w:val="32"/>
          <w:rtl/>
        </w:rPr>
        <w:t xml:space="preserve">المهم أن معنى هذه القاعدة – وهي تنص على أن الإنسان إذا كرّر محظورًا من جنس واحد، وموجبه واحد، أجزأ عن الجميع فعل واحد، إن لم يُخرج – وهذا الشرط – موجَب الأول – ولعل بهذه الأمثلة تتضح هذه القاعدة.</w:t>
      </w:r>
    </w:p>
    <w:p>
      <w:pPr>
        <w:bidi/>
        <w:spacing w:after="200" w:line="360"/>
        <w:jc w:val="both"/>
      </w:pPr>
      <w:r>
        <w:rPr>
          <w:rFonts w:ascii="Traditional Arabic" w:cs="Traditional Arabic" w:eastAsia="Traditional Arabic" w:hAnsi="Traditional Arabic"/>
          <w:sz w:val="32"/>
          <w:szCs w:val="32"/>
          <w:rtl/>
        </w:rPr>
        <w:t xml:space="preserve">نسأل الله عز وجل بأسمائه الحسنى وصفاته العلى أن يزيدنا وإياكم إيمانًا وعلمًا وهدًى وتقوى، وأن يوفقنا للصالحات، ويعصمنا من المنكرات، ويصلح أحوالنا وأحوال المسلمين في كل مكان،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2026-10-15T09:49:43.785Z</dcterms:created>
  <dcterms:modified xsi:type="dcterms:W3CDTF">2026-10-15T09:49:43.785Z</dcterms:modified>
</cp:coreProperties>
</file>

<file path=docProps/custom.xml><?xml version="1.0" encoding="utf-8"?>
<Properties xmlns="http://schemas.openxmlformats.org/officeDocument/2006/custom-properties" xmlns:vt="http://schemas.openxmlformats.org/officeDocument/2006/docPropsVTypes"/>
</file>