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37</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الفقهية المهمة في باب العبادات: «أن كل عبادة انعقدت بدليل شرعي فلا يجوز إبطالها إلا بدليل شرعي». فالعبادة إذا انعقدت بدليل شرعي فلا يجوز إبطالها إلا بدليل شرعي آخر. لماذا؟ لأن العقل لا يستقل بإدراك الشرع؛ فأمر العبادة الأصل فيه هو الحظر والتوقيف على الدليل الشرعي الصحيح.</w:t>
      </w:r>
    </w:p>
    <w:p>
      <w:pPr>
        <w:bidi/>
        <w:spacing w:after="200" w:line="360"/>
        <w:jc w:val="both"/>
      </w:pPr>
      <w:r>
        <w:rPr>
          <w:rFonts w:ascii="Traditional Arabic" w:cs="Traditional Arabic" w:eastAsia="Traditional Arabic" w:hAnsi="Traditional Arabic"/>
          <w:sz w:val="32"/>
          <w:szCs w:val="32"/>
          <w:rtl/>
        </w:rPr>
        <w:t xml:space="preserve">إذا عُلم هذا فليُعلم أن هذه العبادة لا تنعقد إلا بدليل شرعي؛ كالصلاة مثلًا فإنها لا تنعقد إلا بتكبيرة الإحرام، كذلك الإحرام للحج والعمرة ينعقد بالنية، نية الدخول في النسك. فإذا دخل الإنسان في هذه العبادة، وانعقدت هذه العبادة حسب الدليل الشرعي، فإنه ثبتت أحكامها المترتبة على الدخول فيها أو على انعقادها؛ فإنه لا يجوز لأحد – كائنًا من كان – أن يدّعي بطلان هذه العبادة التي انعقدت وفق الدليل الشرعي، إلا إذا أتانا بدليل يدل على بطلان ذلك العمل، وإلا فلا يجوز، بل هو تحكّم في الشريعة بمحض الآراء. فالأصل هو عدم إبطال العبادات، فمن ادّعى إبطال عبادة فعليه الدليل؛ لأنه خالف الأصل الشرعي: أن المسلم دخل في عبادة انعقدت بدليل شرعي، فلا يجوز إبطالها إلا بدليل شرعي.</w:t>
      </w:r>
    </w:p>
    <w:p>
      <w:pPr>
        <w:bidi/>
        <w:spacing w:after="200" w:line="360"/>
        <w:jc w:val="both"/>
      </w:pPr>
      <w:r>
        <w:rPr>
          <w:rFonts w:ascii="Traditional Arabic" w:cs="Traditional Arabic" w:eastAsia="Traditional Arabic" w:hAnsi="Traditional Arabic"/>
          <w:sz w:val="32"/>
          <w:szCs w:val="32"/>
          <w:rtl/>
        </w:rPr>
        <w:t xml:space="preserve">ولذلك قال الله عز وجل في ذكر المحرمات: ﴿وَأَنْ تَقُولُوا عَلَى اللَّهِ مَا لَا تَعْلَمُونَ﴾؛ فالقول على الله بما لا يعلم الإنسان هذا من المحرمات، وقال سبحانه: ﴿وَلَا تَقُولُوا لِمَا تَصِفُ أَلْسِنَتُكُمُ الْكَذِبَ هَذَا حَلَالٌ وَهَذَا حَرَامٌ لِتَفْتَرُوا عَلَى اللَّهِ الْكَذِبَ﴾. فباب إبطال العبادات باب توقيفي على الدليل، وليس مفتوحًا للقياس أو للتشهّي؛ فكل ما أثبته الدليل أنه ناقض لهذه العبادة فهو الناقض، وما لم يأتِ به الدليل فالأصل الصحة.</w:t>
      </w:r>
    </w:p>
    <w:p>
      <w:pPr>
        <w:bidi/>
        <w:spacing w:after="200" w:line="360"/>
        <w:jc w:val="both"/>
      </w:pPr>
      <w:r>
        <w:rPr>
          <w:rFonts w:ascii="Traditional Arabic" w:cs="Traditional Arabic" w:eastAsia="Traditional Arabic" w:hAnsi="Traditional Arabic"/>
          <w:sz w:val="32"/>
          <w:szCs w:val="32"/>
          <w:rtl/>
        </w:rPr>
        <w:t xml:space="preserve">مثال ذلك: الوضوء عبادة شرعية، دلّ الدليل الشرعي على ثبوت حكمها، وصحة الوضوء بغسل الأعضاء الأربعة؛ فمن غسل الأعضاء الأربعة على الوجه المأمور به شرعًا قلنا: إنه ارتفع حدثه، فلا يجوز لنا أن نبطل هذا الوضوء، ونقول: أنت محدث، بدون دليل. مثال ذلك: بعض الناس يُبطل الوضوء من عند نفسه إذا مسّ نجاسة؛ الإنسان توضأ، ثم وقعت عليه نجاسة، مثلًا بول هرّة، أو نحو ذلك من النجاسات، أو دم مسفوح، فيقول له: أعد، بطل الوضوء! قال: لأنه وقعت عليّ نجاسة. نقول: لا يوجد دليل شرعي على إبطال الوضوء بمسّ النجاسة.</w:t>
      </w:r>
    </w:p>
    <w:p>
      <w:pPr>
        <w:bidi/>
        <w:spacing w:after="200" w:line="360"/>
        <w:jc w:val="both"/>
      </w:pPr>
      <w:r>
        <w:rPr>
          <w:rFonts w:ascii="Traditional Arabic" w:cs="Traditional Arabic" w:eastAsia="Traditional Arabic" w:hAnsi="Traditional Arabic"/>
          <w:sz w:val="32"/>
          <w:szCs w:val="32"/>
          <w:rtl/>
        </w:rPr>
        <w:t xml:space="preserve">نعم دلّ الدليل الشرعي على بطلان الوضوء بالبول والغائط والريح، أي بالخارج من السبيلين، وبالنوم المستغرق الذي يفقد الإنسان معه الشعور، وجاءت الأدلة في بطلان الوضوء بالجنون والإغماء، كما دلّ عليه إجماع أهل العلم، وبالمذي، وبمسّ الذكر بلا حائل، وأكل لحم الإبل خاصة. كل هذه النواقض ثبت الدليل الشرعي أنها رافعة لحكم الوضوء المنعقد بدليل شرعي، فهذا مردّه للشرع، لكن ما لم يدل عليه الشرع، أو ما ذكره بعض الناس أن الوضوء يبطل به، نقول: لا بد من الدليل الصحيح الصريح؛ لأن الوضوء انعقد حكمه بدليل شرعي، فلا نبطله إلا بدليل شرعي آخر.</w:t>
      </w:r>
    </w:p>
    <w:p>
      <w:pPr>
        <w:bidi/>
        <w:spacing w:after="200" w:line="360"/>
        <w:jc w:val="both"/>
      </w:pPr>
      <w:r>
        <w:rPr>
          <w:rFonts w:ascii="Traditional Arabic" w:cs="Traditional Arabic" w:eastAsia="Traditional Arabic" w:hAnsi="Traditional Arabic"/>
          <w:sz w:val="32"/>
          <w:szCs w:val="32"/>
          <w:rtl/>
        </w:rPr>
        <w:t xml:space="preserve">كذلك الصلاة؛ دلّ الدليل الشرعي على أن الإنسان يدخل فيها بتكبيرة الإحرام، فبناءً عليه فإنه لا يجوز أن نبطل صلاة أحد دخل فيها على هذا الوجه الصحيح إلا بدليل شرعي يبيّن بطلانها؛ لأن ما انعقد بالدليل لا يبطل إلا بالدليل.</w:t>
      </w:r>
    </w:p>
    <w:p>
      <w:pPr>
        <w:bidi/>
        <w:spacing w:after="200" w:line="360"/>
        <w:jc w:val="both"/>
      </w:pPr>
      <w:r>
        <w:rPr>
          <w:rFonts w:ascii="Traditional Arabic" w:cs="Traditional Arabic" w:eastAsia="Traditional Arabic" w:hAnsi="Traditional Arabic"/>
          <w:sz w:val="32"/>
          <w:szCs w:val="32"/>
          <w:rtl/>
        </w:rPr>
        <w:t xml:space="preserve">ومن هنا نعلم خطأ قول من قال مثلًا: إن الصلاة تبطل بالتنحنح إذا بان حرفان؛ لعدم الدليل، وفي حديث علي رضي الله عنه قال: كان لي من رسول الله صلى الله عليه وسلم مدخلان، فكنت إذا أتيته وهو يصلي تنحنح لي. فثبت أن النبي عليه الصلاة والسلام كان يتنحنح في الصلاة.</w:t>
      </w:r>
    </w:p>
    <w:p>
      <w:pPr>
        <w:bidi/>
        <w:spacing w:after="200" w:line="360"/>
        <w:jc w:val="both"/>
      </w:pPr>
      <w:r>
        <w:rPr>
          <w:rFonts w:ascii="Traditional Arabic" w:cs="Traditional Arabic" w:eastAsia="Traditional Arabic" w:hAnsi="Traditional Arabic"/>
          <w:sz w:val="32"/>
          <w:szCs w:val="32"/>
          <w:rtl/>
        </w:rPr>
        <w:t xml:space="preserve">كذلك خطأ من يقول: إن الصلاة تبطل بالإشارة المفهِمة؛ يردّ عليه حديث ابن عمر أنه قال لبلال: كيف رأيت رسول الله صلى الله عليه وسلم يردّ عليهم حين يسلّمون عليه وهو يصلي؟ قال: يقول هكذا، وبسط كفّه؛ يعني بسط كفه إشارةً إلى ردّ السلام، فهذه إشارة مفهمة. فنقول: إن الإنسان إذا كان يصلي، وأتاه أحد يريده، فأشار بيده أن ينتظر، أو سأله عن مثلًا متاع أو حاجة، فأشار بيده إلى مكان، أو إلى وجود هذا الشيء، فهذه إشارة مفهمة، لكنها لا تبطل الصلاة؛ أولًا: لعدم الدليل على بطلان الصلاة بالإشارة المفهمة، والأمر الآخر: أنه جاء الدليل باستخدام النبي صلى الله عليه وسلم الإشارة المفهمة. وهذا يدل على أن الصلاة إذا احتاج الإنسان فيها أن يشير إشارة مفهمة لا تبطل، كما فعل النبي عليه الصلاة والسلام في حديث ابن عمر لما سأل بلالًا عن كيفية ردّ النبي صلى الله عليه وسلم السلام في الصلاة. وهذا الحديث أخرجه أبو داود وغيره.</w:t>
      </w:r>
    </w:p>
    <w:p>
      <w:pPr>
        <w:bidi/>
        <w:spacing w:after="200" w:line="360"/>
        <w:jc w:val="both"/>
      </w:pPr>
      <w:r>
        <w:rPr>
          <w:rFonts w:ascii="Traditional Arabic" w:cs="Traditional Arabic" w:eastAsia="Traditional Arabic" w:hAnsi="Traditional Arabic"/>
          <w:sz w:val="32"/>
          <w:szCs w:val="32"/>
          <w:rtl/>
        </w:rPr>
        <w:t xml:space="preserve">بل الصحابة لما تكلّم معاوية بن الحكم في الصلاة رماه القوم بأبصارهم، وضربوا أفخاذهم، يضربون بأيديهم على أفخاذهم، قال: ما بال القوم يُسكتونني؟ ففهم من ضربهم على أفخاذهم أنهم يُسكتونه. ومع ذلك لم يُبطل النبي عليه الصلاة والسلام صلاة الصحابة الذين ضربوا بأيديهم على أفخاذهم ليُسكتوا معاوية بن الحكم.</w:t>
      </w:r>
    </w:p>
    <w:p>
      <w:pPr>
        <w:bidi/>
        <w:spacing w:after="200" w:line="360"/>
        <w:jc w:val="both"/>
      </w:pPr>
      <w:r>
        <w:rPr>
          <w:rFonts w:ascii="Traditional Arabic" w:cs="Traditional Arabic" w:eastAsia="Traditional Arabic" w:hAnsi="Traditional Arabic"/>
          <w:sz w:val="32"/>
          <w:szCs w:val="32"/>
          <w:rtl/>
        </w:rPr>
        <w:t xml:space="preserve">كذلك عائشة رضي الله عنها لما دخلت عليها أسماء يوم كسفت الشمس، قالت لها: ما شأن الناس؟ – لم تعلم الذي حدث؛ كسفت الشمس، ورأت الناس خارجين – فقالت لعائشة: ما شأن الناس؟ فأشارت برأسها إلى السماء، قالت: آية؟ فأشارت برأسها: أي نعم. فهذه عائشة فعلت هذه الإشارة المفهمة وهي في الصلاة.</w:t>
      </w:r>
    </w:p>
    <w:p>
      <w:pPr>
        <w:bidi/>
        <w:spacing w:after="200" w:line="360"/>
        <w:jc w:val="both"/>
      </w:pPr>
      <w:r>
        <w:rPr>
          <w:rFonts w:ascii="Traditional Arabic" w:cs="Traditional Arabic" w:eastAsia="Traditional Arabic" w:hAnsi="Traditional Arabic"/>
          <w:sz w:val="32"/>
          <w:szCs w:val="32"/>
          <w:rtl/>
        </w:rPr>
        <w:t xml:space="preserve">المقصود من هذا: أن الإشارة باليد أو بالرأس – إشارة مفهمة أو مفهومة – لا تبطل الصلاة. لماذا؟ لأن القاعدة تقول: إن من دخل في العبادة بدليل شرعي لا تبطل عبادته إلا بدليل شرعي؛ فالإشارة المفهمة إذا احتاج إليها الإنسان في صلاته فأشار، لا نستطيع أن نبطل صلاته؛ لعدم الدليل، بل الدليل على خلاف ذلك كما تقدّم.</w:t>
      </w:r>
    </w:p>
    <w:p>
      <w:pPr>
        <w:bidi/>
        <w:spacing w:after="200" w:line="360"/>
        <w:jc w:val="both"/>
      </w:pPr>
      <w:r>
        <w:rPr>
          <w:rFonts w:ascii="Traditional Arabic" w:cs="Traditional Arabic" w:eastAsia="Traditional Arabic" w:hAnsi="Traditional Arabic"/>
          <w:sz w:val="32"/>
          <w:szCs w:val="32"/>
          <w:rtl/>
        </w:rPr>
        <w:t xml:space="preserve">كذلك من المسائل المتعلقة بهذه القاعدة: من وجد الماء وقد شرع في الصلاة بالتيمم؛ يعني إنسان عدم الماء وتيمّم وصلى، وأثناء الصلاة حضر الماء، هل يخرج من الصلاة ويتوضأ ويستأنفها، أم أنه يستمر في الصلاة بالتيمم؛ لأنه دخلها بدليل شرعي، ودخلها بطهارة شرعية مأذون فيها؟ في الحقيقة هناك قولان لأهل العلم في المسألة، ولكن يظهر – والله أعلم – أن وجود الماء مبطل للصلاة؛ لأن الله عز وجل أعطانا قاعدة، قال: ﴿فَلَمْ تَجِدُوا مَاءً فَتَيَمَّمُوا﴾، وهذا واجد للماء، فالشرط لم يتحقق، فلا يتحقق المشروط، ولم تفصّل الآية بين ما إذا كان خارج الصلاة وجد الماء أو داخلها. وأيضًا حديث أبي ذر وحديث أبي هريرة: «فإذا وجد الماء فليتّق الله وليمسّه بشرته»، بدون تفصيل: إذا وجد الماء في الصلاة، أو إذا وجد الماء خارج الصلاة. وهناك قاعدة أصولية تدل لهذا: أن «ترك الاستفصال في مقام الاحتمال يجري على العموم في المقال».</w:t>
      </w:r>
    </w:p>
    <w:p>
      <w:pPr>
        <w:bidi/>
        <w:spacing w:after="200" w:line="360"/>
        <w:jc w:val="both"/>
      </w:pPr>
      <w:r>
        <w:rPr>
          <w:rFonts w:ascii="Traditional Arabic" w:cs="Traditional Arabic" w:eastAsia="Traditional Arabic" w:hAnsi="Traditional Arabic"/>
          <w:sz w:val="32"/>
          <w:szCs w:val="32"/>
          <w:rtl/>
        </w:rPr>
        <w:t xml:space="preserve">وعلى كل حال فإن لكل قولٍ حظًّا من النظر، وهو اختيار أئمة كبار، فلا تثريب على من جنح لأحد القولين. لكن المهم أن نعرف تفريعات القاعدة، سواء كان ذلك راجحًا أو مرجوحًا، ليس هذا هو الشأن، لكن من أخذ قولًا معتبرًا لإمام من أئمة الإسلام، لا سيما من الأئمة الأربعة، وقلّده في قوله، فليس عليه في ذلك، فإنه إن شاء الله تبرأ ذمته بذلك، إلا إذا تبيّن له الدليل الواضح الصريح فهنا عليه اتباعه.</w:t>
      </w:r>
    </w:p>
    <w:p>
      <w:pPr>
        <w:bidi/>
        <w:spacing w:after="200" w:line="360"/>
        <w:jc w:val="both"/>
      </w:pPr>
      <w:r>
        <w:rPr>
          <w:rFonts w:ascii="Traditional Arabic" w:cs="Traditional Arabic" w:eastAsia="Traditional Arabic" w:hAnsi="Traditional Arabic"/>
          <w:sz w:val="32"/>
          <w:szCs w:val="32"/>
          <w:rtl/>
        </w:rPr>
        <w:t xml:space="preserve">كذلك القاعدة التي معنا: أن من دخل في العبادة، وانعقدت عبادته بدليل شرعي، لا يخرج من العبادة إلا بدليل شرعي، وهذا يجري على جميع العبادات: الحج، والصيام، ومن دفع الزكاة على وجه شرعي، ومن صلى على وجه شرعي، وكذا الصيام؛ ثبت بالدليل الشرعي أنه ينعقد الصيام بالنية من طلوع الفجر إلى غروب الشمس، فإذا انعقد صومه فلا يجوز لأحد أن يدّعي بطلان هذا الصيام بقول نفسه، إلا ونقول له: عليك الدليل، لا بد أن تأتي بالدليل لإبطال هذه العبادة، وإلا فالأصل عدم المبطل؛ لأنه دخل في العبادة على وجه شرعي.</w:t>
      </w:r>
    </w:p>
    <w:p>
      <w:pPr>
        <w:bidi/>
        <w:spacing w:after="200" w:line="360"/>
        <w:jc w:val="both"/>
      </w:pPr>
      <w:r>
        <w:rPr>
          <w:rFonts w:ascii="Traditional Arabic" w:cs="Traditional Arabic" w:eastAsia="Traditional Arabic" w:hAnsi="Traditional Arabic"/>
          <w:sz w:val="32"/>
          <w:szCs w:val="32"/>
          <w:rtl/>
        </w:rPr>
        <w:t xml:space="preserve">فمن ذلك لو أتى إنسان، قال: الصائم الذي يستخدم الحنّاء صيامه باطل! نقول: أعطنا الدليل، ولا دليل، إذن قوله مردود. أو من قال: إن قطرة العين تفطّر الصائم، نقول: ما الدليل؟ فلا نجد دليلًا؛ لأنها ليست مغذّية، ولا في حكم المغذّي، فإذا عُدم الدليل فيبقى الصيام؛ نُبقي عبادة الناس على وجهها الصحيح.</w:t>
      </w:r>
    </w:p>
    <w:p>
      <w:pPr>
        <w:bidi/>
        <w:spacing w:after="200" w:line="360"/>
        <w:jc w:val="both"/>
      </w:pPr>
      <w:r>
        <w:rPr>
          <w:rFonts w:ascii="Traditional Arabic" w:cs="Traditional Arabic" w:eastAsia="Traditional Arabic" w:hAnsi="Traditional Arabic"/>
          <w:sz w:val="32"/>
          <w:szCs w:val="32"/>
          <w:rtl/>
        </w:rPr>
        <w:t xml:space="preserve">نسأل الله سبحانه علمًا نافعًا، وعملًا صالحًا، ورزقًا واسعًا، وشفاءً من كل داء،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2026-10-15T09:49:44.205Z</dcterms:created>
  <dcterms:modified xsi:type="dcterms:W3CDTF">2026-10-15T09:49:44.205Z</dcterms:modified>
</cp:coreProperties>
</file>

<file path=docProps/custom.xml><?xml version="1.0" encoding="utf-8"?>
<Properties xmlns="http://schemas.openxmlformats.org/officeDocument/2006/custom-properties" xmlns:vt="http://schemas.openxmlformats.org/officeDocument/2006/docPropsVTypes"/>
</file>