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39</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الشريعة الإسلامية شريعة واقعية، وصالحة لكل زمان، وإنما الخلل يكون من تطبيقات الأفراد، أما الشريعة فهي سالمة من التناقض، ومن التعارض، ومن تضييقها على الناس، ومن عدم استيعاب أحوال الناس واختلافهم. الشريعة الإسلامية تسع برحابتها جميع الظروف والأحوال والشخصيات والبيئات، وإنما جماعها في تحقيق مصالح العباد ودرء المفاسد عنهم؛ هذا جماع الشريعة الإسلامية.</w:t>
      </w:r>
    </w:p>
    <w:p>
      <w:pPr>
        <w:bidi/>
        <w:spacing w:after="200" w:line="360"/>
        <w:jc w:val="both"/>
      </w:pPr>
      <w:r>
        <w:rPr>
          <w:rFonts w:ascii="Traditional Arabic" w:cs="Traditional Arabic" w:eastAsia="Traditional Arabic" w:hAnsi="Traditional Arabic"/>
          <w:sz w:val="32"/>
          <w:szCs w:val="32"/>
          <w:rtl/>
        </w:rPr>
        <w:t xml:space="preserve">لذلك الشريعة الإسلامية جاءت بقواعد وضوابط في السياسة الشرعية، ولعل هذا يكون موضوع هذه الحلقة؛ نريد أن نأخذ قواعد وضوابط وتطبيقاتها في باب السياسة الشرعية؛ لأن الشريعة الإسلامية صريحة واقعية، تسوس الناس بالخير والحكمة، وبما يحقق المصلحة للأمة.</w:t>
      </w:r>
    </w:p>
    <w:p>
      <w:pPr>
        <w:bidi/>
        <w:spacing w:after="200" w:line="360"/>
        <w:jc w:val="both"/>
      </w:pPr>
      <w:r>
        <w:rPr>
          <w:rFonts w:ascii="Traditional Arabic" w:cs="Traditional Arabic" w:eastAsia="Traditional Arabic" w:hAnsi="Traditional Arabic"/>
          <w:sz w:val="32"/>
          <w:szCs w:val="32"/>
          <w:rtl/>
        </w:rPr>
        <w:t xml:space="preserve">من ذلك ما يعنون له الفقهاء بضابط، فإنهم يقولون: «العقوبة لا تكون إلا على ذنب ثابت، وأما المنع والاحتراز فيكون مع التهمة»؛ أي إنما العقوبة في الذنوب.</w:t>
      </w:r>
    </w:p>
    <w:p>
      <w:pPr>
        <w:bidi/>
        <w:spacing w:after="200" w:line="360"/>
        <w:jc w:val="both"/>
      </w:pPr>
      <w:r>
        <w:rPr>
          <w:rFonts w:ascii="Traditional Arabic" w:cs="Traditional Arabic" w:eastAsia="Traditional Arabic" w:hAnsi="Traditional Arabic"/>
          <w:sz w:val="32"/>
          <w:szCs w:val="32"/>
          <w:rtl/>
        </w:rPr>
        <w:t xml:space="preserve">توضيح هذا الضابط: هذا الضابط أولًا نصّ عليه شيخ الإسلام ابن تيمية رحمه الله في كتابه «السياسة الشرعية» رحمه الله، في معرض حديثه عن المنكرات والمعاصي الموجبة للعقوبة؛ فمن ظهر منه شيء من هذه المنكرات وجب منعه من ذلك، وعقوبته عليها إذا لم يتب حتى قُدر عليه، بحسب ما جاءت به الشريعة من قتل أو جلد أو غيره. «وأما المحتسب فعليه أن يعزّر من أظهر ذلك قولًا أو فعلًا، ويمنع من الاجتماع في مظانّ التهم؛ فالعقوبة لا تكون إلا على ذنب ثابت، وأما المنع والاحتراز فيكون مع التهمة».</w:t>
      </w:r>
    </w:p>
    <w:p>
      <w:pPr>
        <w:bidi/>
        <w:spacing w:after="200" w:line="360"/>
        <w:jc w:val="both"/>
      </w:pPr>
      <w:r>
        <w:rPr>
          <w:rFonts w:ascii="Traditional Arabic" w:cs="Traditional Arabic" w:eastAsia="Traditional Arabic" w:hAnsi="Traditional Arabic"/>
          <w:sz w:val="32"/>
          <w:szCs w:val="32"/>
          <w:rtl/>
        </w:rPr>
        <w:t xml:space="preserve">ويقول في موضع آخر رحمه الله: «والحدود لا تُقام إلا بالبيّنة، وأما الحذر من الرجل في شهادته وأمانته ونحو ذلك فلا يحتاج إلى المعاينة، بل الاستفاضة كافية في ذلك، وما هو دون الاستفاضة، حتى إنه يُستدل عليه بأقرانه»، كما قال ابن مسعود: «اعتبروا الناس بأخدانهم».</w:t>
      </w:r>
    </w:p>
    <w:p>
      <w:pPr>
        <w:bidi/>
        <w:spacing w:after="200" w:line="360"/>
        <w:jc w:val="both"/>
      </w:pPr>
      <w:r>
        <w:rPr>
          <w:rFonts w:ascii="Traditional Arabic" w:cs="Traditional Arabic" w:eastAsia="Traditional Arabic" w:hAnsi="Traditional Arabic"/>
          <w:sz w:val="32"/>
          <w:szCs w:val="32"/>
          <w:rtl/>
        </w:rPr>
        <w:t xml:space="preserve">فالمقصود أن الشريعة الإسلامية من السياسة الشرعية في سياسة الناس أن نعاقب من ثبت عليه ذنب يستحق العقوبة، وهذا الذنب ثابت، أما الاحتراز والمنع فهو أوسع، يكون مع التهمة.</w:t>
      </w:r>
    </w:p>
    <w:p>
      <w:pPr>
        <w:bidi/>
        <w:spacing w:after="200" w:line="360"/>
        <w:jc w:val="both"/>
      </w:pPr>
      <w:r>
        <w:rPr>
          <w:rFonts w:ascii="Traditional Arabic" w:cs="Traditional Arabic" w:eastAsia="Traditional Arabic" w:hAnsi="Traditional Arabic"/>
          <w:sz w:val="32"/>
          <w:szCs w:val="32"/>
          <w:rtl/>
        </w:rPr>
        <w:t xml:space="preserve">دليل هذا الضابط: قول الله عز وجل: ﴿يَا أَيُّهَا الَّذِينَ آمَنُوا إِنْ جَاءَكُمْ فَاسِقٌ بِنَبَإٍ فَتَبَيَّنُوا أَنْ تُصِيبُوا قَوْمًا بِجَهَالَةٍ فَتُصْبِحُوا عَلَى مَا فَعَلْتُمْ نَادِمِينَ﴾، وقوله تعالى: ﴿لَوْلَا إِذْ سَمِعْتُمُوهُ ظَنَّ الْمُؤْمِنُونَ وَالْمُؤْمِنَاتُ بِأَنْفُسِهِمْ خَيْرًا وَقَالُوا هَذَا إِفْكٌ مُبِينٌ * لَوْلَا جَاءُوا عَلَيْهِ بِأَرْبَعَةِ شُهَدَاءَ فَإِذْ لَمْ يَأْتُوا بِالشُّهَدَاءِ فَأُولَئِكَ عِنْدَ اللَّهِ هُمُ الْكَاذِبُونَ﴾، وقوله تعالى: ﴿يَا أَيُّهَا الَّذِينَ آمَنُوا إِذَا ضَرَبْتُمْ فِي سَبِيلِ اللَّهِ فَتَبَيَّنُوا وَلَا تَقُولُوا لِمَنْ أَلْقَى إِلَيْكُمُ السَّلَامَ لَسْتَ مُؤْمِنًا تَبْتَغُونَ عَرَضَ الْحَيَاةِ الدُّنْيَا فَعِنْدَ اللَّهِ مَغَانِمُ كَثِيرَةٌ﴾ الآية، وكقوله تعالى: ﴿يَا أَيُّهَا الَّذِينَ آمَنُوا خُذُوا حِذْرَكُمْ﴾.</w:t>
      </w:r>
    </w:p>
    <w:p>
      <w:pPr>
        <w:bidi/>
        <w:spacing w:after="200" w:line="360"/>
        <w:jc w:val="both"/>
      </w:pPr>
      <w:r>
        <w:rPr>
          <w:rFonts w:ascii="Traditional Arabic" w:cs="Traditional Arabic" w:eastAsia="Traditional Arabic" w:hAnsi="Traditional Arabic"/>
          <w:sz w:val="32"/>
          <w:szCs w:val="32"/>
          <w:rtl/>
        </w:rPr>
        <w:t xml:space="preserve">وحديث ابن عباس أيضًا أن النبي عليه الصلاة والسلام قال: «لو يُعطى الناس بدعواهم لادّعى رجال أموال قوم ودماءهم، ولكن البيّنة على من ادّعى، واليمين على من أنكر»، أخرجه في الصحيحين. وكذلك حديث النعمان بن بشير أن النبي عليه الصلاة والسلام قال: «فمن اتقى الشبهات فقد استبرأ لدينه وعرضه، ومن وقع في الشبهات وقع في الحرام». وكذلك ما جاء عن عمر أنه كان يعسّ بالمدينة، ويحرس رعاياه، ويبحث عن أحوالهم، يعني عن حفظ الأمن.</w:t>
      </w:r>
    </w:p>
    <w:p>
      <w:pPr>
        <w:bidi/>
        <w:spacing w:after="200" w:line="360"/>
        <w:jc w:val="both"/>
      </w:pPr>
      <w:r>
        <w:rPr>
          <w:rFonts w:ascii="Traditional Arabic" w:cs="Traditional Arabic" w:eastAsia="Traditional Arabic" w:hAnsi="Traditional Arabic"/>
          <w:sz w:val="32"/>
          <w:szCs w:val="32"/>
          <w:rtl/>
        </w:rPr>
        <w:t xml:space="preserve">فهذه الأدلة كلها تدل على أنه لا يمكن أن نعاقب أحدًا في الشريعة الإسلامية إلا إذا أذنب، أما إذا لم يُذنب، وكان محلّ تهمة، فممكن أن يُمنع، وممكن أن يُحترز منه، لكن العقوبة لا.</w:t>
      </w:r>
    </w:p>
    <w:p>
      <w:pPr>
        <w:bidi/>
        <w:spacing w:after="200" w:line="360"/>
        <w:jc w:val="both"/>
      </w:pPr>
      <w:r>
        <w:rPr>
          <w:rFonts w:ascii="Traditional Arabic" w:cs="Traditional Arabic" w:eastAsia="Traditional Arabic" w:hAnsi="Traditional Arabic"/>
          <w:sz w:val="32"/>
          <w:szCs w:val="32"/>
          <w:rtl/>
        </w:rPr>
        <w:t xml:space="preserve">ومن تطبيقات هذا الضابط: أن الحدود لا تُقام إلا بالبيّنة، ولا بد مع البيّنة من توفر الشروط وانتفاء الموانع.</w:t>
      </w:r>
    </w:p>
    <w:p>
      <w:pPr>
        <w:bidi/>
        <w:spacing w:after="200" w:line="360"/>
        <w:jc w:val="both"/>
      </w:pPr>
      <w:r>
        <w:rPr>
          <w:rFonts w:ascii="Traditional Arabic" w:cs="Traditional Arabic" w:eastAsia="Traditional Arabic" w:hAnsi="Traditional Arabic"/>
          <w:sz w:val="32"/>
          <w:szCs w:val="32"/>
          <w:rtl/>
        </w:rPr>
        <w:t xml:space="preserve">كذلك أن الحذر من الناس – خاصة عند قيام سبب الحذر – مطلوب؛ فيُحذر من هذا، أو لا يقبل القاضي شهادة هذا لأنه يشك في شهادته، أو عنده ظن غالب أنه غير مأمون في الشهادة؛ فالحذر منه عند قيام سبب الحذر هذا مطلوب، أما عقوبته بمجرد سوء الظن فلا يجوز. ففرق بين الحذر والاحتراز وبين العقوبة؛ فالعقوبة لا بد أن تكون على شيء ثابت واضح من المعاقَب، أما إذا لم يكن هناك شيء واضح فلا تجوز العقوبة، ويجوز الاحتراز.</w:t>
      </w:r>
    </w:p>
    <w:p>
      <w:pPr>
        <w:bidi/>
        <w:spacing w:after="200" w:line="360"/>
        <w:jc w:val="both"/>
      </w:pPr>
      <w:r>
        <w:rPr>
          <w:rFonts w:ascii="Traditional Arabic" w:cs="Traditional Arabic" w:eastAsia="Traditional Arabic" w:hAnsi="Traditional Arabic"/>
          <w:sz w:val="32"/>
          <w:szCs w:val="32"/>
          <w:rtl/>
        </w:rPr>
        <w:t xml:space="preserve">لكن من سقطت عنه العقوبة – ثبتت العقوبة على شخص، وسقطت عنه لفوات شرط أو لوجود مانع – ضُعّف عليه الغُرم. هذه قاعدة وضابط آخر، يقول الفقهاء: «من سقطت عنه العقوبة – يعني الشرعية – لفوات شرط أو لوجود مانع ضُعّف عليه الغرم».</w:t>
      </w:r>
    </w:p>
    <w:p>
      <w:pPr>
        <w:bidi/>
        <w:spacing w:after="200" w:line="360"/>
        <w:jc w:val="both"/>
      </w:pPr>
      <w:r>
        <w:rPr>
          <w:rFonts w:ascii="Traditional Arabic" w:cs="Traditional Arabic" w:eastAsia="Traditional Arabic" w:hAnsi="Traditional Arabic"/>
          <w:sz w:val="32"/>
          <w:szCs w:val="32"/>
          <w:rtl/>
        </w:rPr>
        <w:t xml:space="preserve">هذا يدل على أن المحرمات في الشريعة قسمان:</w:t>
      </w:r>
    </w:p>
    <w:p>
      <w:pPr>
        <w:bidi/>
        <w:spacing w:after="200" w:line="360"/>
        <w:jc w:val="both"/>
      </w:pPr>
      <w:r>
        <w:rPr>
          <w:rFonts w:ascii="Traditional Arabic" w:cs="Traditional Arabic" w:eastAsia="Traditional Arabic" w:hAnsi="Traditional Arabic"/>
          <w:sz w:val="32"/>
          <w:szCs w:val="32"/>
          <w:rtl/>
        </w:rPr>
        <w:t xml:space="preserve">قسم ثابت تحريمه، ليس فيه عقوبة دنيوية قد نصّ عليها الشارع؛ ليس فيه حد، ولا قصاص، ولا ضمان، ولا كفارة، لا توجد عقوبة محددة من الشارع؛ لأنه ليس كل الذنوب والمنكرات عليها عقوبة محددة من الشارع. فهذا النوع من المحرمات لا يدخل في هذه القاعدة «من سقطت عنه العقوبة»، بل تكون عقوبته أخروية إن لم يتب إلى الله، أو تعزيرية في الدنيا، لكن لا تعلّق له بهذه القاعدة. والعقوبة التعزيرية هي عقوبة غير مقدّرة من الشارع، يقدّرها ولي الأمر بمشاركة أهل الاختصاص، للمنع والزجر عن الوقوع في مثلها.</w:t>
      </w:r>
    </w:p>
    <w:p>
      <w:pPr>
        <w:bidi/>
        <w:spacing w:after="200" w:line="360"/>
        <w:jc w:val="both"/>
      </w:pPr>
      <w:r>
        <w:rPr>
          <w:rFonts w:ascii="Traditional Arabic" w:cs="Traditional Arabic" w:eastAsia="Traditional Arabic" w:hAnsi="Traditional Arabic"/>
          <w:sz w:val="32"/>
          <w:szCs w:val="32"/>
          <w:rtl/>
        </w:rPr>
        <w:t xml:space="preserve">وهناك محرمات ثبت تحريمها، ورتّبت الشريعة عليها عقوبات على من ارتكبها، فعليه هذه العقوبة المقدّرة. وهذا القسم هو الذي يدخل معنا في هذا الضابط: «من سقطت عنه العقوبة لفوات شرط أو لوجود مانع». فالحكم الشرعي في هذا القسم: أن من ارتكب هذا المحرم فإن عليه عقوبته إذا توفرت شروط إقامة هذه العقوبة وانتفت موانعها، لكن إذا ارتكبه الإنسان، وعند تطبيق العقوبة عليه وُجد فيه مانع حال دون إقامتها، فهنا تسقط العقوبة؛ لعدم وجود الشروط التامة، لكن يُعاقب عقوبة أخرى، هي مضاعفة الغرم؛ أي أنه يضمن الشيء الذي انتهكه مرتين؛ عقوبةً له على فعله للمحرم، وكأن هذه العقوبة قد نُزّلت منزلة البدل عن الأصل؛ ذلك لأن الأصل أن نقيم عليه العقوبة المقدّرة شرعًا، لكن تعذّرت إقامتها لفوات شرط أو وجود مانع، فنعاقبه عقوبة أخرى بمضاعفة الغرم.</w:t>
      </w:r>
    </w:p>
    <w:p>
      <w:pPr>
        <w:bidi/>
        <w:spacing w:after="200" w:line="360"/>
        <w:jc w:val="both"/>
      </w:pPr>
      <w:r>
        <w:rPr>
          <w:rFonts w:ascii="Traditional Arabic" w:cs="Traditional Arabic" w:eastAsia="Traditional Arabic" w:hAnsi="Traditional Arabic"/>
          <w:sz w:val="32"/>
          <w:szCs w:val="32"/>
          <w:rtl/>
        </w:rPr>
        <w:t xml:space="preserve">وهذا له أدلة كثيرة في الشريعة؛ من ذلك حديث عمرو بن شعيب عن أبيه عن جده أنه سُئل عن الثمر المعلّق، فقال النبي عليه الصلاة والسلام: «من أصاب بفيه من ذي حاجة غير متّخذ خُبنة فلا شيء عليه، ومن خرج بشيء منه فعليه غرامة مثليه والعقوبة». فالثمر المعلّق إذا أخذ الإنسان منه شيئًا وخرج به فإنه في منزلة السارق، والسارق عقوبته القطع، لكن هذا سقط عنه القطع لأنه لم يأخذ المال من حرز؛ ففقد شرطًا من شروط القطع، والثمر ما دام على رؤوس الشجر فليس في حرز، فلما سقطت عنه العقوبة ضُعّف عليه الغرم، فقال: «فعليه غرامة مثليه»، أي عليه ثمن ما أخذه مرة، ومرة أخرى، مثليه. هذا الحديث رواه النسائي والترمذي وابن ماجه، وقال عنه الترمذي: إنه حديث حسن. والمراد من هذا: أنه لما سقطت العقوبة لعدم الأخذ والسرقة من الحرز ضُعّف عليه الغرم مرتين.</w:t>
      </w:r>
    </w:p>
    <w:p>
      <w:pPr>
        <w:bidi/>
        <w:spacing w:after="200" w:line="360"/>
        <w:jc w:val="both"/>
      </w:pPr>
      <w:r>
        <w:rPr>
          <w:rFonts w:ascii="Traditional Arabic" w:cs="Traditional Arabic" w:eastAsia="Traditional Arabic" w:hAnsi="Traditional Arabic"/>
          <w:sz w:val="32"/>
          <w:szCs w:val="32"/>
          <w:rtl/>
        </w:rPr>
        <w:t xml:space="preserve">فالمهم أن من سرق مثلًا مالًا من غير حرز – لأن الإنسان مثلًا سرق ذهبًا من السيارة، والذهب ليس حرزه السيارة، ليس الحرز الصحيح له السيارة – فهذا الشريعة ما تقطعه؛ لأنه لم يسرق المال من حرزه، بل أنت شجّعت على سرقة المال، وضعته في السيارة، أنت أضعفت نفسه، أنت شيطان عليه، فراعت الشريعة هذا الجانب فلم تقطع يده، لكنه يُعاقب؛ قد يجلده ولي الأمر، قد يحبسه، المهم أنه لا تصل عقوبته إلى القطع؛ لعدم وجود شرط من شروط القطع، وهو أن يأخذ المال من حرزه، ولكنه يُعاقب أيضًا بغرامة مالية: «فعليه غرامة مثليه» كما جاء في الحديث الذي حسّنه الترمذي.</w:t>
      </w:r>
    </w:p>
    <w:p>
      <w:pPr>
        <w:bidi/>
        <w:spacing w:after="200" w:line="360"/>
        <w:jc w:val="both"/>
      </w:pPr>
      <w:r>
        <w:rPr>
          <w:rFonts w:ascii="Traditional Arabic" w:cs="Traditional Arabic" w:eastAsia="Traditional Arabic" w:hAnsi="Traditional Arabic"/>
          <w:sz w:val="32"/>
          <w:szCs w:val="32"/>
          <w:rtl/>
        </w:rPr>
        <w:t xml:space="preserve">وقد جاء أيضًا بقضاء الصحابة ذلك؛ قضى عمر رضي الله عنه، وعثمان قضى بذلك، وعلي قضى بذلك: أن من قلع من الأعور عينه الصحيحة أنه لا يُقتص منه؛ يعني أعور بقيت له عين واحدة، وقلع عين إنسان صحيح، فهنا إذا قلعنا عين الأعور أصبح أعمى لا يرى. فهنا إذا قلع الأعور عين الصحيح لا يُقتص منه، لا تُقلع عينه؛ لأنه لو شُرع القصاص في عينه العوراء لعدّ ذلك حيفًا، ومن شروط إقامة القصاص الأمن من الحيف، وهنا فيه حيف؛ ذلك لأن الإنسان الصحيح العينين بقيت له عين ينظر بها، أما الأعور فليس له إلا عين واحدة ينظر بها، والأخرى ممسوحة، فلو قلناها قصاصًا سنذهب بصره بالكلية. فسقطت عنه عقوبة القصاص، فلما سقطت عنه قالوا: يُضعّف عليه الغرم؛ فقضى عليه الصحابة بأن الأعور يدفع بدل دية عين واحدة دية عينين، مع أن العين واحدة، لكن ضُعّف عليه الغرم لسقوط العقوبة عنه. وهذا قول مشهور عند الصحابة؛ قضى به عمر وعلي وعثمان، من الخلفاء الذين قال النبي صلى الله عليه وسلم فيهم: «عليكم بسنتي وسنة الخلفاء الراشدين المهديين من بعدي».</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2026-10-15T09:49:44.591Z</dcterms:created>
  <dcterms:modified xsi:type="dcterms:W3CDTF">2026-10-15T09:49:44.591Z</dcterms:modified>
</cp:coreProperties>
</file>

<file path=docProps/custom.xml><?xml version="1.0" encoding="utf-8"?>
<Properties xmlns="http://schemas.openxmlformats.org/officeDocument/2006/custom-properties" xmlns:vt="http://schemas.openxmlformats.org/officeDocument/2006/docPropsVTypes"/>
</file>