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42</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أجمعين.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من القواعد الفقهية التي جاءت بها الشريعة الإسلامية، والتي تدل على أن هذه الشريعة شريعة كاملة، لا تدع شيئًا مشتبهًا يؤدي إلى اشتباه وإلى تنازع إلا وجعلت له طرقًا تميّزه، للوصول إلى ما نظنه الحق، ومن هذه الطرق: قاعدة القرعة. والقرعة يعنون لها الفقهاء في قواعدهم بقولهم: «تُستعمل القرعة في تمييز المستحق»، وقالوا: «تُستعمل القرعة عند التزاحم ولا مميّز لأحدهما، أو إذا علمنا أن الشيء لأحدهما وجهلناه». فالقرعة لا تُستعمل مطلقًا، إلا عند عدم إمكان تمييز المستحق.</w:t>
      </w:r>
    </w:p>
    <w:p>
      <w:pPr>
        <w:bidi/>
        <w:spacing w:after="200" w:line="360"/>
        <w:jc w:val="both"/>
      </w:pPr>
      <w:r>
        <w:rPr>
          <w:rFonts w:ascii="Traditional Arabic" w:cs="Traditional Arabic" w:eastAsia="Traditional Arabic" w:hAnsi="Traditional Arabic"/>
          <w:sz w:val="32"/>
          <w:szCs w:val="32"/>
          <w:rtl/>
        </w:rPr>
        <w:t xml:space="preserve">القرعة في اللغة: هي السهمة والنصيب من الشيء. وأما في الاصطلاح الفقهي: فالقرعة هي ما يُستعمل لتمييز النصيب أو الحق بين المستحقين؛ فضابطها: كل ما يؤدي إلى معرفة الحق وتمييز الحق فهو القرعة. فهي طريق من طرق فصل الخصومات، وتمييز الأنصبة والحقوق.</w:t>
      </w:r>
    </w:p>
    <w:p>
      <w:pPr>
        <w:bidi/>
        <w:spacing w:after="200" w:line="360"/>
        <w:jc w:val="both"/>
      </w:pPr>
      <w:r>
        <w:rPr>
          <w:rFonts w:ascii="Traditional Arabic" w:cs="Traditional Arabic" w:eastAsia="Traditional Arabic" w:hAnsi="Traditional Arabic"/>
          <w:sz w:val="32"/>
          <w:szCs w:val="32"/>
          <w:rtl/>
        </w:rPr>
        <w:t xml:space="preserve">وقد دلّ عليها القرآن والسنة:</w:t>
      </w:r>
    </w:p>
    <w:p>
      <w:pPr>
        <w:bidi/>
        <w:spacing w:after="200" w:line="360"/>
        <w:jc w:val="both"/>
      </w:pPr>
      <w:r>
        <w:rPr>
          <w:rFonts w:ascii="Traditional Arabic" w:cs="Traditional Arabic" w:eastAsia="Traditional Arabic" w:hAnsi="Traditional Arabic"/>
          <w:sz w:val="32"/>
          <w:szCs w:val="32"/>
          <w:rtl/>
        </w:rPr>
        <w:t xml:space="preserve">ففي القرآن قوله تعالى: ﴿وَمَا كُنْتَ لَدَيْهِمْ إِذْ يُلْقُونَ أَقْلَامَهُمْ أَيُّهُمْ يَكْفُلُ مَرْيَمَ وَمَا كُنْتَ لَدَيْهِمْ إِذْ يَخْتَصِمُونَ﴾؛ قال ابن عباس رضي الله عنهما: اقترعوا بالأقلام، اقترعوا بالأقلام، وعلا قلم زكريا، فكفلها زكريا.</w:t>
      </w:r>
    </w:p>
    <w:p>
      <w:pPr>
        <w:bidi/>
        <w:spacing w:after="200" w:line="360"/>
        <w:jc w:val="both"/>
      </w:pPr>
      <w:r>
        <w:rPr>
          <w:rFonts w:ascii="Traditional Arabic" w:cs="Traditional Arabic" w:eastAsia="Traditional Arabic" w:hAnsi="Traditional Arabic"/>
          <w:sz w:val="32"/>
          <w:szCs w:val="32"/>
          <w:rtl/>
        </w:rPr>
        <w:t xml:space="preserve">وقال تعالى عن نبي الله يونس: ﴿فَسَاهَمَ فَكَانَ مِنَ الْمُدْحَضِينَ﴾؛ أي أقرع فخرج سهمه؛ أي أن نبي الله يونس عليه السلام لما ركب السفينة مغاضبًا، وهاجت الأمواج وتلاطمت، وأشرفت السفينة على الغرق بثقل حملها، قالوا: لا بد أن يضحّي أحدنا من أجل نجاتنا، بدلًا من أن نهلك جميعًا. كلهم ضنين بنفسه عن الموت؛ من الذي يتقدم فيضحّي بنفسه؟ كلهم مستحقون للبقاء، ولا أحد له ميزة، فاقترعوا، فخرجت القرعة على نبي الله، ثم استعظموا الأمر أن يكون هو، فاقترعوا ثانية وثالثة، كلها تخرج عليه القرعة، فألقى نفسه في اليمّ، فإذا الحوت قد فغر فاه مستقبلًا له، فالتقمه. ولم ينكر الله عز وجل عليه هذا الاقتراع، ولو كان منكرًا لما أقرّ الله نبيه على منكر.</w:t>
      </w:r>
    </w:p>
    <w:p>
      <w:pPr>
        <w:bidi/>
        <w:spacing w:after="200" w:line="360"/>
        <w:jc w:val="both"/>
      </w:pPr>
      <w:r>
        <w:rPr>
          <w:rFonts w:ascii="Traditional Arabic" w:cs="Traditional Arabic" w:eastAsia="Traditional Arabic" w:hAnsi="Traditional Arabic"/>
          <w:sz w:val="32"/>
          <w:szCs w:val="32"/>
          <w:rtl/>
        </w:rPr>
        <w:t xml:space="preserve">كذلك قوله تعالى في اختصام بني إسرائيل: من يكفل مريم؟ فاتفقوا على أن يأتوا إلى البحر، ويُلقوا أقلامهم، فأيّهم علا قلمه كفلها، فعلا قلم زكريا فكفلها؛ فقال تعالى: ﴿وَمَا كُنْتَ لَدَيْهِمْ إِذْ يُلْقُونَ أَقْلَامَهُمْ أَيُّهُمْ يَكْفُلُ مَرْيَمَ وَمَا كُنْتَ لَدَيْهِمْ إِذْ يَخْتَصِمُونَ﴾. فهاتان الآيتان في شرع من قبلنا، لكن ورد شرعنا بتقريرها وجوازها، واتفق العلماء على أن شرع من قبلنا شرع لنا إذا ورد شرعنا بالأمر به، وأما إن لم يرد بجوازه، فهنا نقول: إن شرعنا حرّم هذا.</w:t>
      </w:r>
    </w:p>
    <w:p>
      <w:pPr>
        <w:bidi/>
        <w:spacing w:after="200" w:line="360"/>
        <w:jc w:val="both"/>
      </w:pPr>
      <w:r>
        <w:rPr>
          <w:rFonts w:ascii="Traditional Arabic" w:cs="Traditional Arabic" w:eastAsia="Traditional Arabic" w:hAnsi="Traditional Arabic"/>
          <w:sz w:val="32"/>
          <w:szCs w:val="32"/>
          <w:rtl/>
        </w:rPr>
        <w:t xml:space="preserve">المهم أن القرعة مستخدمة في شرائع من قبلنا، وأُقرّت في شريعتنا، بل حتى نبينا عليه الصلاة والسلام في الصف الأول، وفي النداء – الأذان – قال: «لو يعلم الناس ما في النداء والصف الأول، ثم لم يجدوا إلا أن يستهموا عليه لاستهموا»؛ يعني لم يجدوا حيلة للوقوف في الصف الأول إلا أن يقترعوا، إلا أن يستهموا، لاستهموا عليه؛ لم يجدوا من يصلي في الصف الأول إلا بالقرعة. لو يعلمون الأجر الذي فيه لتزاحم الناس على الصف الأول، حتى إنه لا يُقدّم إلا بالقرعة؛ من خرج نصيبه صلى في الصف الأول، ومن لم يخرج نصيبه تأخّر. هذا يدل على عظم هذه العبادة.</w:t>
      </w:r>
    </w:p>
    <w:p>
      <w:pPr>
        <w:bidi/>
        <w:spacing w:after="200" w:line="360"/>
        <w:jc w:val="both"/>
      </w:pPr>
      <w:r>
        <w:rPr>
          <w:rFonts w:ascii="Traditional Arabic" w:cs="Traditional Arabic" w:eastAsia="Traditional Arabic" w:hAnsi="Traditional Arabic"/>
          <w:sz w:val="32"/>
          <w:szCs w:val="32"/>
          <w:rtl/>
        </w:rPr>
        <w:t xml:space="preserve">كذلك النبي عليه الصلاة والسلام كان يستخدم القرعة في حياته في أمور، كما جاء في الصحيحين من حديث عائشة: أن النبي صلى الله عليه وسلم كان إذا أراد سفرًا أقرع بين نسائه.</w:t>
      </w:r>
    </w:p>
    <w:p>
      <w:pPr>
        <w:bidi/>
        <w:spacing w:after="200" w:line="360"/>
        <w:jc w:val="both"/>
      </w:pPr>
      <w:r>
        <w:rPr>
          <w:rFonts w:ascii="Traditional Arabic" w:cs="Traditional Arabic" w:eastAsia="Traditional Arabic" w:hAnsi="Traditional Arabic"/>
          <w:sz w:val="32"/>
          <w:szCs w:val="32"/>
          <w:rtl/>
        </w:rPr>
        <w:t xml:space="preserve">كذلك قضى بالقرعة؛ لما جاء رجل إلى النبي عليه الصلاة والسلام، وسأله عن رجل أعتق ستة مملوكين له عند موته، لم يكن له مال غيرهم، فدعا بهم رسول الله صلى الله عليه وسلم – هؤلاء الستة – فجزّأهم أثلاثًا؛ لماذا؟ لأن المعتق للستة هذا تصدّق بكل المال، وهذا لا يمكن في الشريعة؛ أباحت أن يتصدق المتوفى من تركته بالثلث، وثلث الستة اثنان، فجزّأهم أثلاثًا، اثنين اثنين، ثم أقرع بينهم، فأعتق اثنين، وأرقّ أربعة، كما أخرجه مسلم. فالنبي عليه الصلاة والسلام استخدم القرعة في القضاء.</w:t>
      </w:r>
    </w:p>
    <w:p>
      <w:pPr>
        <w:bidi/>
        <w:spacing w:after="200" w:line="360"/>
        <w:jc w:val="both"/>
      </w:pPr>
      <w:r>
        <w:rPr>
          <w:rFonts w:ascii="Traditional Arabic" w:cs="Traditional Arabic" w:eastAsia="Traditional Arabic" w:hAnsi="Traditional Arabic"/>
          <w:sz w:val="32"/>
          <w:szCs w:val="32"/>
          <w:rtl/>
        </w:rPr>
        <w:t xml:space="preserve">كذلك سعد بن أبي وقاص أقرع بين الناس في معركة القادسية لما تشاحّوا في الأذان: أيهم يؤذّن، كما ذكره البخاري. وذلك لأن القرعة تحلّ الإشكال، وتحسم النزاع، وتدفع داء التشهّي؛ فالقرعة من محاسن الشريعة الإسلامية في الخصومات.</w:t>
      </w:r>
    </w:p>
    <w:p>
      <w:pPr>
        <w:bidi/>
        <w:spacing w:after="200" w:line="360"/>
        <w:jc w:val="both"/>
      </w:pPr>
      <w:r>
        <w:rPr>
          <w:rFonts w:ascii="Traditional Arabic" w:cs="Traditional Arabic" w:eastAsia="Traditional Arabic" w:hAnsi="Traditional Arabic"/>
          <w:sz w:val="32"/>
          <w:szCs w:val="32"/>
          <w:rtl/>
        </w:rPr>
        <w:t xml:space="preserve">والقرعة تكون مباحة، والقرعة تكون محرّمة؛ وتحريمها إذا كنا نعرف المستحق، فلا يجوز أن نُدخله في القرعة وهو مستحق وغيره غير مستحق. أما إذا تساووا في الاستحقاق، أو جهلنا المستحق، فهنا نلجأ إلى القرعة، فهي تُستخدم لتمييز المستحق المبهم ابتداءً.</w:t>
      </w:r>
    </w:p>
    <w:p>
      <w:pPr>
        <w:bidi/>
        <w:spacing w:after="200" w:line="360"/>
        <w:jc w:val="both"/>
      </w:pPr>
      <w:r>
        <w:rPr>
          <w:rFonts w:ascii="Traditional Arabic" w:cs="Traditional Arabic" w:eastAsia="Traditional Arabic" w:hAnsi="Traditional Arabic"/>
          <w:sz w:val="32"/>
          <w:szCs w:val="32"/>
          <w:rtl/>
        </w:rPr>
        <w:t xml:space="preserve">مثال ذلك: القسم بين الزوجات؛ مثل رجل زُفّت إليه زوجتان جميعًا، أيّهما يبدأ بالقسم؟ كل من الزوجتين مستحقة للقسم ابتداءً، وهذا الاستحقاق مبهم، فتُجرى القرعة. ورجل أوصى مثلًا بعتق ستة أعبد، وكان ثلث ماله اثنين، فأيّ اثنين؟ نُجري القرعة كما فعل النبي عليه الصلاة والسلام.</w:t>
      </w:r>
    </w:p>
    <w:p>
      <w:pPr>
        <w:bidi/>
        <w:spacing w:after="200" w:line="360"/>
        <w:jc w:val="both"/>
      </w:pPr>
      <w:r>
        <w:rPr>
          <w:rFonts w:ascii="Traditional Arabic" w:cs="Traditional Arabic" w:eastAsia="Traditional Arabic" w:hAnsi="Traditional Arabic"/>
          <w:sz w:val="32"/>
          <w:szCs w:val="32"/>
          <w:rtl/>
        </w:rPr>
        <w:t xml:space="preserve">كذلك تُستخدم القرعة في التمييز في الاختصاصات: إذا سبق اثنان إلى مختص من المختصات، مثل مكان البيع، ومكان الشراء، ومكان الجلوس، وموقف السيارات – هذه العامة للناس – فكل منهما سبق إلى هذا المحل في وقت واحد، ولا يتسع لهما، فهنا نُجري القرعة بين ذلك. قالوا: وأماكن الإقراء، والإفتاء، والتدريس؛ كعالمين سبقا إلى مسجد للتدريس فيه، أو للإفتاء، ونحو ذلك، فإنه تُجرى القرعة بينهما عند عدم التمييز، والتزاحم في الاختصاصات.</w:t>
      </w:r>
    </w:p>
    <w:p>
      <w:pPr>
        <w:bidi/>
        <w:spacing w:after="200" w:line="360"/>
        <w:jc w:val="both"/>
      </w:pPr>
      <w:r>
        <w:rPr>
          <w:rFonts w:ascii="Traditional Arabic" w:cs="Traditional Arabic" w:eastAsia="Traditional Arabic" w:hAnsi="Traditional Arabic"/>
          <w:sz w:val="32"/>
          <w:szCs w:val="32"/>
          <w:rtl/>
        </w:rPr>
        <w:t xml:space="preserve">كذلك قالوا: التزاحم في الولايات؛ إذا تزاحم اثنان في الأذان، وكل واحد منهما توفّرت فيه الصفات الشرعية، كلاهما مستحق، وكذلك في الإمامة؛ تشاحّ اثنان عند إدارة مثلًا من إدارات المساجد على تولّي إمامة مسجد، أولًا ننظر إلى الشروط الشرعية وتوفرها، فإذا كان كلاهما مستحقًا لذلك، وتوفّرت فيه المواصفات الشرعية، كل منهما، فهنا نُجري القرعة بينهما، هذا حل شرعي.</w:t>
      </w:r>
    </w:p>
    <w:p>
      <w:pPr>
        <w:bidi/>
        <w:spacing w:after="200" w:line="360"/>
        <w:jc w:val="both"/>
      </w:pPr>
      <w:r>
        <w:rPr>
          <w:rFonts w:ascii="Traditional Arabic" w:cs="Traditional Arabic" w:eastAsia="Traditional Arabic" w:hAnsi="Traditional Arabic"/>
          <w:sz w:val="32"/>
          <w:szCs w:val="32"/>
          <w:rtl/>
        </w:rPr>
        <w:t xml:space="preserve">كذلك قالوا: إذا طلّق امرأة من نسائه فأُنسيها، أو قال: إحداكنّ طالق، وله أكثر من امرأة، ولا قرينة تصرفه لإحداهن، قالوا: هنا تُميّز المطلّقة بالقرعة.</w:t>
      </w:r>
    </w:p>
    <w:p>
      <w:pPr>
        <w:bidi/>
        <w:spacing w:after="200" w:line="360"/>
        <w:jc w:val="both"/>
      </w:pPr>
      <w:r>
        <w:rPr>
          <w:rFonts w:ascii="Traditional Arabic" w:cs="Traditional Arabic" w:eastAsia="Traditional Arabic" w:hAnsi="Traditional Arabic"/>
          <w:sz w:val="32"/>
          <w:szCs w:val="32"/>
          <w:rtl/>
        </w:rPr>
        <w:t xml:space="preserve">كذلك قالوا: إذا دعاه اثنان إلى وليمة، واستويا في الصفات المرجّحة – من تقديم الأسبق، أو الأقرب رحمًا، أو الأقرب دارًا – كل ذلك قد استويا فيه؛ دعواه في نفس الوقت، وأرسلا إليه رسالة في نفس الوقت، كلاهما في مرتبة واحدة من الرحم، فإنه يُقرع بينهما، فمن خرجت له القرعة أجابه.</w:t>
      </w:r>
    </w:p>
    <w:p>
      <w:pPr>
        <w:bidi/>
        <w:spacing w:after="200" w:line="360"/>
        <w:jc w:val="both"/>
      </w:pPr>
      <w:r>
        <w:rPr>
          <w:rFonts w:ascii="Traditional Arabic" w:cs="Traditional Arabic" w:eastAsia="Traditional Arabic" w:hAnsi="Traditional Arabic"/>
          <w:sz w:val="32"/>
          <w:szCs w:val="32"/>
          <w:rtl/>
        </w:rPr>
        <w:t xml:space="preserve">إذًا القرعة تجري عند عدم تمييز صاحب الحق، كل مشترك في هذا الحق؛ كأن تكون هناك شركة، مشتركون في أرض بين ستة أشخاص، لكل واحد سدس هذه الأرض، وأرادوا أن يقتسموا، وبعض الأرض قيمته أفضل من بعض؛ فمن نقدّم؟ إذا كانت السهام متساوية، وقيمة أجزاء المقسوم مختلفة – كل واحد له سدس، لكن القيمة مختلفة؛ الجهة الشمالية أعلى من الجهة الجنوبية أو الشرقية – فهنا نقسم على ستة أسهم، ثم نجعل الستة أسهم متساوية القيمة، ثم يُقرع بينهم، فمن خرج سهمه أخذ من الأرض حسب القرعة؛ لأننا لا نستطيع أن نميّز أحدهم على الآخر.</w:t>
      </w:r>
    </w:p>
    <w:p>
      <w:pPr>
        <w:bidi/>
        <w:spacing w:after="200" w:line="360"/>
        <w:jc w:val="both"/>
      </w:pPr>
      <w:r>
        <w:rPr>
          <w:rFonts w:ascii="Traditional Arabic" w:cs="Traditional Arabic" w:eastAsia="Traditional Arabic" w:hAnsi="Traditional Arabic"/>
          <w:sz w:val="32"/>
          <w:szCs w:val="32"/>
          <w:rtl/>
        </w:rPr>
        <w:t xml:space="preserve">لكن هناك مواضع لا تُستخدم فيها القرعة، واستخدام القرعة فيها من قبيل المحرّم؛ يعني إذا تعيّنت المصلحة فلا. فإذا تقدّم اثنان لإمامة مسجد – مسجد في منطقة، وفي محافظة – فاختلف عليه اثنان؛ قدّمه هذا يريده، وهذا يريده، ننظر: إذا كان أحدهما أقرأ من الآخر فنقول: تعيّنت المصلحة؛ لأن عندنا حديث: «يؤمّ القوم أقرؤهم لكتاب الله»، فلا يجوز أن نحابي هذا إذا تقدّم وكان أقلّ قراءة؛ نقدّم الأقرأ؛ لأن هذا حكم النبي عليه الصلاة والسلام. كذلك لو تقدّم اثنان للأذان في هذا المسجد، وأحدهما توفّرت فيه شروط الأذان، فإنه يُقدّم؛ لأن المصلحة تعيّنت كذلك، فإجراء القرعة هنا لا يجوز؛ لأن الحق واضح. هذا أولًا.</w:t>
      </w:r>
    </w:p>
    <w:p>
      <w:pPr>
        <w:bidi/>
        <w:spacing w:after="200" w:line="360"/>
        <w:jc w:val="both"/>
      </w:pPr>
      <w:r>
        <w:rPr>
          <w:rFonts w:ascii="Traditional Arabic" w:cs="Traditional Arabic" w:eastAsia="Traditional Arabic" w:hAnsi="Traditional Arabic"/>
          <w:sz w:val="32"/>
          <w:szCs w:val="32"/>
          <w:rtl/>
        </w:rPr>
        <w:t xml:space="preserve">كذلك إذا ظهر الحق فإن المستحق يأخذ حقه، فلا يجوز أن نُدخلها في القرعة، إنما تجرى القرعة عند عدم معرفة المستحق. كذلك شريكان في أرض؛ هذا له نصف الربح، وهذا له نصف الربح، ثم بعد ذلك قالا: ننظر بالقرعة؛ من خرجت له القرعة يأخذ ثلاثة الأرباع! هذه قرعة محرّمة؛ لأن صاحب الحق واضح؛ كلٌّ يأخذ نصيبه.</w:t>
      </w:r>
    </w:p>
    <w:p>
      <w:pPr>
        <w:bidi/>
        <w:spacing w:after="200" w:line="360"/>
        <w:jc w:val="both"/>
      </w:pPr>
      <w:r>
        <w:rPr>
          <w:rFonts w:ascii="Traditional Arabic" w:cs="Traditional Arabic" w:eastAsia="Traditional Arabic" w:hAnsi="Traditional Arabic"/>
          <w:sz w:val="32"/>
          <w:szCs w:val="32"/>
          <w:rtl/>
        </w:rPr>
        <w:t xml:space="preserve">فالمهم أن الشريعة الإسلامية من محاسنها أن جاءت بالقرعة عند الأمر المبهم؛ عند عدم معرفة المستحق نُجري القرعة، أما إذا عرفنا صاحب الحق فلا يجوز أن نعدل عنه بحجة: نُجري قرعة، فما خرج فهو العدل! هذا ليس بعدل، بل هو ظلم، عندما نعدل عن المستحق إلى غيره بحجة استخدام القرعة.</w:t>
      </w:r>
    </w:p>
    <w:p>
      <w:pPr>
        <w:bidi/>
        <w:spacing w:after="200" w:line="360"/>
        <w:jc w:val="both"/>
      </w:pPr>
      <w:r>
        <w:rPr>
          <w:rFonts w:ascii="Traditional Arabic" w:cs="Traditional Arabic" w:eastAsia="Traditional Arabic" w:hAnsi="Traditional Arabic"/>
          <w:sz w:val="32"/>
          <w:szCs w:val="32"/>
          <w:rtl/>
        </w:rPr>
        <w:t xml:space="preserve">أسأل الله عز وجل بأسمائه الحسنى وصفاته العلى أن يرزقنا وإياكم علمًا نافعًا، وعملًا صالحًا، ورزقًا واسعًا، وشفاءً من كل داء، والله أعلم.</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2026-10-15T09:49:45.247Z</dcterms:created>
  <dcterms:modified xsi:type="dcterms:W3CDTF">2026-10-15T09:49:45.247Z</dcterms:modified>
</cp:coreProperties>
</file>

<file path=docProps/custom.xml><?xml version="1.0" encoding="utf-8"?>
<Properties xmlns="http://schemas.openxmlformats.org/officeDocument/2006/custom-properties" xmlns:vt="http://schemas.openxmlformats.org/officeDocument/2006/docPropsVTypes"/>
</file>