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A1649">
      <w:pPr>
        <w:spacing w:line="360" w:lineRule="auto"/>
        <w:jc w:val="center"/>
      </w:pPr>
      <w:r>
        <w:rPr>
          <w:b/>
          <w:sz w:val="24"/>
        </w:rPr>
        <w:t>CCPL CYBER SECURITY INTERNSHIP</w:t>
      </w:r>
    </w:p>
    <w:p w14:paraId="71754FAF">
      <w:pPr>
        <w:spacing w:line="360" w:lineRule="auto"/>
        <w:jc w:val="center"/>
      </w:pPr>
      <w:r>
        <w:rPr>
          <w:b/>
        </w:rPr>
        <w:t>SAST &amp; DAST Security Analysis Tool</w:t>
      </w:r>
    </w:p>
    <w:p w14:paraId="5999847E">
      <w:pPr>
        <w:spacing w:line="360" w:lineRule="auto"/>
        <w:jc w:val="center"/>
      </w:pPr>
      <w:r>
        <w:rPr>
          <w:b/>
          <w:sz w:val="32"/>
        </w:rPr>
        <w:t>PHASE 1 — WEB SAST PIPELINE</w:t>
      </w:r>
    </w:p>
    <w:p w14:paraId="38657CB6">
      <w:pPr>
        <w:spacing w:line="360" w:lineRule="auto"/>
        <w:jc w:val="center"/>
      </w:pPr>
      <w:r>
        <w:t>Prepared By: Muhammad Saqib</w:t>
      </w:r>
    </w:p>
    <w:p w14:paraId="5FBF906E">
      <w:pPr>
        <w:spacing w:line="360" w:lineRule="auto"/>
        <w:jc w:val="center"/>
      </w:pPr>
      <w:r>
        <w:t>Technology Focus: Semgrep + Local Ollama (initial AI implementation)</w:t>
      </w:r>
    </w:p>
    <w:p w14:paraId="0BEEC96B">
      <w:pPr>
        <w:spacing w:line="360" w:lineRule="auto"/>
        <w:jc w:val="center"/>
      </w:pPr>
      <w:r>
        <w:t>Target: DVWA Source Code | August 2026</w:t>
      </w:r>
    </w:p>
    <w:p w14:paraId="302F2BB1">
      <w:pPr>
        <w:pStyle w:val="2"/>
        <w:spacing w:line="360" w:lineRule="auto"/>
        <w:jc w:val="both"/>
      </w:pPr>
      <w:r>
        <w:t>1. Phase Overview</w:t>
      </w:r>
    </w:p>
    <w:p w14:paraId="65F7ADE3">
      <w:pPr>
        <w:spacing w:line="360" w:lineRule="auto"/>
        <w:jc w:val="both"/>
      </w:pPr>
      <w:r>
        <w:t>Phase 1 established the first complete working Web SAST pipeline of the CCPL security analysis tool. The work started with Semgrep scanning DVWA source code, then added normalization, source-code context, AI assessment and review, reporting, and finally a small web interface.</w:t>
      </w:r>
    </w:p>
    <w:p w14:paraId="130F8AF7">
      <w:pPr>
        <w:spacing w:line="360" w:lineRule="auto"/>
        <w:jc w:val="both"/>
      </w:pPr>
      <w:r>
        <w:t>The pipeline was built step by step so each stage could be tested and its output inspected before moving forward.</w:t>
      </w:r>
    </w:p>
    <w:p w14:paraId="4EA748F2">
      <w:pPr>
        <w:pStyle w:val="2"/>
        <w:spacing w:line="360" w:lineRule="auto"/>
        <w:jc w:val="both"/>
      </w:pPr>
      <w:r>
        <w:t>2. Starting Point and Goal</w:t>
      </w:r>
    </w:p>
    <w:p w14:paraId="52C30071">
      <w:pPr>
        <w:spacing w:line="360" w:lineRule="auto"/>
        <w:jc w:val="both"/>
      </w:pPr>
      <w:r>
        <w:t>The main goal was to turn raw scanner alerts into structured findings that could be reviewed and reported consistently.</w:t>
      </w:r>
    </w:p>
    <w:p w14:paraId="5CDA1981">
      <w:pPr>
        <w:pStyle w:val="23"/>
        <w:spacing w:line="360" w:lineRule="auto"/>
        <w:jc w:val="both"/>
      </w:pPr>
      <w:r>
        <w:t>Target application: DVWA</w:t>
      </w:r>
    </w:p>
    <w:p w14:paraId="7FA888A0">
      <w:pPr>
        <w:pStyle w:val="23"/>
        <w:spacing w:line="360" w:lineRule="auto"/>
        <w:jc w:val="both"/>
      </w:pPr>
      <w:r>
        <w:t>SAST engine: Semgrep</w:t>
      </w:r>
    </w:p>
    <w:p w14:paraId="59A3A7D9">
      <w:pPr>
        <w:pStyle w:val="23"/>
        <w:spacing w:line="360" w:lineRule="auto"/>
        <w:jc w:val="both"/>
      </w:pPr>
      <w:r>
        <w:t>Raw output: preserved as scanner JSON</w:t>
      </w:r>
    </w:p>
    <w:p w14:paraId="34AED977">
      <w:pPr>
        <w:pStyle w:val="23"/>
        <w:spacing w:line="360" w:lineRule="auto"/>
        <w:jc w:val="both"/>
      </w:pPr>
      <w:r>
        <w:t>Common data: normalized finding JSON</w:t>
      </w:r>
    </w:p>
    <w:p w14:paraId="69E23DE5">
      <w:pPr>
        <w:pStyle w:val="23"/>
        <w:spacing w:line="360" w:lineRule="auto"/>
        <w:jc w:val="both"/>
      </w:pPr>
      <w:r>
        <w:t>Evidence: relevant source-code context</w:t>
      </w:r>
    </w:p>
    <w:p w14:paraId="38EEBF69">
      <w:pPr>
        <w:pStyle w:val="23"/>
        <w:spacing w:line="360" w:lineRule="auto"/>
        <w:jc w:val="both"/>
      </w:pPr>
      <w:r>
        <w:t>Final output: reviewed security findings and reports</w:t>
      </w:r>
    </w:p>
    <w:p w14:paraId="69FEAB35">
      <w:pPr>
        <w:pStyle w:val="2"/>
        <w:numPr>
          <w:ilvl w:val="0"/>
          <w:numId w:val="7"/>
        </w:numPr>
        <w:spacing w:line="360" w:lineRule="auto"/>
        <w:jc w:val="both"/>
        <w:rPr>
          <w:rFonts w:hint="default"/>
          <w:lang w:val="en-US"/>
        </w:rPr>
      </w:pPr>
      <w:r>
        <w:rPr>
          <w:rFonts w:hint="default" w:ascii="Calibri" w:hAnsi="Calibri" w:eastAsia="SimSun" w:cs="Calibri"/>
          <w:sz w:val="26"/>
          <w:szCs w:val="26"/>
        </w:rPr>
        <w:t>Technology Change</w:t>
      </w:r>
    </w:p>
    <w:p w14:paraId="2046E6D7">
      <w:pPr>
        <w:spacing w:line="360" w:lineRule="auto"/>
        <w:jc w:val="both"/>
        <w:rPr>
          <w:rFonts w:hint="default" w:ascii="Calibri" w:hAnsi="Calibri" w:cs="Calibri"/>
          <w:sz w:val="24"/>
          <w:szCs w:val="24"/>
          <w:lang w:val="en-US"/>
        </w:rPr>
      </w:pPr>
      <w:r>
        <w:rPr>
          <w:rStyle w:val="33"/>
          <w:rFonts w:hint="default" w:ascii="Calibri" w:hAnsi="Calibri" w:eastAsia="SimSun" w:cs="Calibri"/>
          <w:sz w:val="24"/>
          <w:szCs w:val="24"/>
        </w:rPr>
        <w:t>LLM Model Change:</w:t>
      </w:r>
      <w:r>
        <w:rPr>
          <w:rFonts w:hint="default" w:ascii="Calibri" w:hAnsi="Calibri" w:eastAsia="SimSun" w:cs="Calibri"/>
          <w:sz w:val="24"/>
          <w:szCs w:val="24"/>
        </w:rPr>
        <w:t xml:space="preserve"> The initial design proposed Qwen2.5-Coder. During implementation, the team switched to Qwen3, which was then used locally through Ollama for the Phase 1 AI assessment and review pipeline.</w:t>
      </w:r>
    </w:p>
    <w:p w14:paraId="3602EA58">
      <w:pPr>
        <w:pStyle w:val="2"/>
        <w:spacing w:line="360" w:lineRule="auto"/>
        <w:jc w:val="both"/>
      </w:pPr>
      <w:r>
        <w:rPr>
          <w:rFonts w:hint="default"/>
          <w:lang w:val="en-US"/>
        </w:rPr>
        <w:t>4</w:t>
      </w:r>
      <w:r>
        <w:t xml:space="preserve">. Step 1 </w:t>
      </w:r>
      <w:r>
        <w:rPr>
          <w:rFonts w:hint="default"/>
          <w:lang w:val="en-US"/>
        </w:rPr>
        <w:t>:</w:t>
      </w:r>
      <w:r>
        <w:t xml:space="preserve"> Semgrep Scanner</w:t>
      </w:r>
    </w:p>
    <w:p w14:paraId="5448AD69">
      <w:pPr>
        <w:spacing w:line="360" w:lineRule="auto"/>
        <w:jc w:val="both"/>
      </w:pPr>
      <w:r>
        <w:t>Semgrep was used as the initial SAST engine. It scans the target source code using security rules and produces candidate findings.</w:t>
      </w:r>
    </w:p>
    <w:p w14:paraId="6F478610">
      <w:pPr>
        <w:pStyle w:val="23"/>
        <w:spacing w:line="360" w:lineRule="auto"/>
        <w:jc w:val="both"/>
      </w:pPr>
      <w:r>
        <w:t>Semgrep identifies possible security issues.</w:t>
      </w:r>
    </w:p>
    <w:p w14:paraId="600210B7">
      <w:pPr>
        <w:pStyle w:val="23"/>
        <w:spacing w:line="360" w:lineRule="auto"/>
        <w:jc w:val="both"/>
      </w:pPr>
      <w:r>
        <w:t>The original JSON output is saved under data/raw.</w:t>
      </w:r>
    </w:p>
    <w:p w14:paraId="5767AE25">
      <w:pPr>
        <w:pStyle w:val="23"/>
        <w:spacing w:line="360" w:lineRule="auto"/>
        <w:jc w:val="both"/>
      </w:pPr>
      <w:r>
        <w:t>Scanner information such as rule ID, severity, file and line location is preserved.</w:t>
      </w:r>
    </w:p>
    <w:p w14:paraId="5D17AB7E">
      <w:pPr>
        <w:spacing w:line="360" w:lineRule="auto"/>
        <w:jc w:val="both"/>
      </w:pPr>
      <w:r>
        <w:t>Keeping the raw result separate made later debugging and comparison easier.</w:t>
      </w:r>
    </w:p>
    <w:p w14:paraId="77FD2F68">
      <w:pPr>
        <w:pStyle w:val="2"/>
        <w:spacing w:line="360" w:lineRule="auto"/>
        <w:jc w:val="both"/>
      </w:pPr>
      <w:r>
        <w:rPr>
          <w:rFonts w:hint="default"/>
          <w:lang w:val="en-US"/>
        </w:rPr>
        <w:t>5</w:t>
      </w:r>
      <w:r>
        <w:t xml:space="preserve">. Step 2 </w:t>
      </w:r>
      <w:r>
        <w:rPr>
          <w:rFonts w:hint="default"/>
          <w:lang w:val="en-US"/>
        </w:rPr>
        <w:t>:</w:t>
      </w:r>
      <w:r>
        <w:t xml:space="preserve"> Finding Normalization</w:t>
      </w:r>
    </w:p>
    <w:p w14:paraId="0572CE55">
      <w:pPr>
        <w:spacing w:line="360" w:lineRule="auto"/>
        <w:jc w:val="both"/>
      </w:pPr>
      <w:r>
        <w:t>Semgrep has its own result format. A normalization stage was added so later parts of the tool could work with one common finding structure instead of depending directly on Semgrep's format.</w:t>
      </w:r>
    </w:p>
    <w:p w14:paraId="20846BBA">
      <w:pPr>
        <w:pStyle w:val="23"/>
        <w:spacing w:line="360" w:lineRule="auto"/>
        <w:jc w:val="both"/>
      </w:pPr>
      <w:r>
        <w:t>Reads the raw Semgrep result.</w:t>
      </w:r>
    </w:p>
    <w:p w14:paraId="7FE145C5">
      <w:pPr>
        <w:pStyle w:val="23"/>
        <w:spacing w:line="360" w:lineRule="auto"/>
        <w:jc w:val="both"/>
      </w:pPr>
      <w:r>
        <w:t>Maps scanner-specific fields to the common finding structure.</w:t>
      </w:r>
    </w:p>
    <w:p w14:paraId="2CB7C4C4">
      <w:pPr>
        <w:pStyle w:val="23"/>
        <w:spacing w:line="360" w:lineRule="auto"/>
        <w:jc w:val="both"/>
      </w:pPr>
      <w:r>
        <w:t>Keeps important metadata such as finding ID, rule ID, severity and location.</w:t>
      </w:r>
    </w:p>
    <w:p w14:paraId="012631AB">
      <w:pPr>
        <w:pStyle w:val="23"/>
        <w:spacing w:line="360" w:lineRule="auto"/>
        <w:jc w:val="both"/>
      </w:pPr>
      <w:r>
        <w:t>Writes the normalized findings for the next stage.</w:t>
      </w:r>
    </w:p>
    <w:p w14:paraId="41C3AA04">
      <w:pPr>
        <w:pStyle w:val="2"/>
        <w:spacing w:line="360" w:lineRule="auto"/>
        <w:jc w:val="both"/>
      </w:pPr>
      <w:r>
        <w:rPr>
          <w:rFonts w:hint="default"/>
          <w:lang w:val="en-US"/>
        </w:rPr>
        <w:t>6</w:t>
      </w:r>
      <w:r>
        <w:t xml:space="preserve">. Step 3 </w:t>
      </w:r>
      <w:r>
        <w:rPr>
          <w:rFonts w:hint="default"/>
          <w:lang w:val="en-US"/>
        </w:rPr>
        <w:t>:</w:t>
      </w:r>
      <w:r>
        <w:t xml:space="preserve"> Source Context</w:t>
      </w:r>
    </w:p>
    <w:p w14:paraId="2FEFAF2B">
      <w:pPr>
        <w:spacing w:line="360" w:lineRule="auto"/>
        <w:jc w:val="both"/>
      </w:pPr>
      <w:r>
        <w:t>A file and line number are often not enough to understand a security finding. The pipeline therefore reads the affected source file and attaches surrounding lines to the finding.</w:t>
      </w:r>
    </w:p>
    <w:p w14:paraId="6F2E8F31">
      <w:pPr>
        <w:pStyle w:val="23"/>
        <w:spacing w:line="360" w:lineRule="auto"/>
        <w:jc w:val="both"/>
      </w:pPr>
      <w:r>
        <w:t>Reads the finding's file and line range.</w:t>
      </w:r>
    </w:p>
    <w:p w14:paraId="77C218A9">
      <w:pPr>
        <w:pStyle w:val="23"/>
        <w:spacing w:line="360" w:lineRule="auto"/>
        <w:jc w:val="both"/>
      </w:pPr>
      <w:r>
        <w:t>Extracts nearby source code.</w:t>
      </w:r>
    </w:p>
    <w:p w14:paraId="3A4A2404">
      <w:pPr>
        <w:pStyle w:val="23"/>
        <w:spacing w:line="360" w:lineRule="auto"/>
        <w:jc w:val="both"/>
      </w:pPr>
      <w:r>
        <w:t>Stores the context with the finding.</w:t>
      </w:r>
    </w:p>
    <w:p w14:paraId="6D2CC33E">
      <w:pPr>
        <w:spacing w:line="360" w:lineRule="auto"/>
        <w:jc w:val="both"/>
      </w:pPr>
      <w:r>
        <w:t>This gave the later AI and human review stages actual evidence instead of only a scanner message.</w:t>
      </w:r>
    </w:p>
    <w:p w14:paraId="627BBB46">
      <w:pPr>
        <w:pStyle w:val="2"/>
        <w:spacing w:line="360" w:lineRule="auto"/>
        <w:jc w:val="both"/>
      </w:pPr>
      <w:r>
        <w:rPr>
          <w:rFonts w:hint="default"/>
          <w:lang w:val="en-US"/>
        </w:rPr>
        <w:t>7</w:t>
      </w:r>
      <w:r>
        <w:t xml:space="preserve">. Step 4 </w:t>
      </w:r>
      <w:r>
        <w:rPr>
          <w:rFonts w:hint="default"/>
          <w:lang w:val="en-US"/>
        </w:rPr>
        <w:t>:</w:t>
      </w:r>
      <w:r>
        <w:t xml:space="preserve"> Two-Pass AI Assessment</w:t>
      </w:r>
    </w:p>
    <w:p w14:paraId="1CE5F74A">
      <w:pPr>
        <w:spacing w:line="360" w:lineRule="auto"/>
        <w:jc w:val="both"/>
      </w:pPr>
      <w:r>
        <w:t>After the scanner and evidence pipeline was working, a two-pass AI workflow was introduced. During Phase 1, this workflow was developed and tested with local Ollama.</w:t>
      </w:r>
    </w:p>
    <w:p w14:paraId="75347D26">
      <w:pPr>
        <w:spacing w:line="360" w:lineRule="auto"/>
        <w:jc w:val="both"/>
      </w:pPr>
      <w:r>
        <w:t>The LLM was used as an additional reasoning layer, not as a replacement for Semgrep.</w:t>
      </w:r>
    </w:p>
    <w:p w14:paraId="08A16823">
      <w:pPr>
        <w:pStyle w:val="23"/>
        <w:spacing w:line="360" w:lineRule="auto"/>
        <w:jc w:val="both"/>
      </w:pPr>
      <w:r>
        <w:t>Pass 1 — Assessor: evaluates the finding and available source context.</w:t>
      </w:r>
    </w:p>
    <w:p w14:paraId="342060F4">
      <w:pPr>
        <w:pStyle w:val="23"/>
        <w:spacing w:line="360" w:lineRule="auto"/>
        <w:jc w:val="both"/>
      </w:pPr>
      <w:r>
        <w:t>Pass 2 — Reviewer: performs a second logical review of the first assessment.</w:t>
      </w:r>
    </w:p>
    <w:p w14:paraId="1D3A713C">
      <w:pPr>
        <w:spacing w:line="360" w:lineRule="auto"/>
        <w:jc w:val="both"/>
      </w:pPr>
      <w:r>
        <w:t>The original finding remained intact; the AI result was attached to it as assessment/review data.</w:t>
      </w:r>
    </w:p>
    <w:p w14:paraId="1DA5C0A9">
      <w:pPr>
        <w:pStyle w:val="2"/>
        <w:spacing w:line="360" w:lineRule="auto"/>
        <w:jc w:val="both"/>
      </w:pPr>
      <w:r>
        <w:rPr>
          <w:rFonts w:hint="default"/>
          <w:lang w:val="en-US"/>
        </w:rPr>
        <w:t>8</w:t>
      </w:r>
      <w:r>
        <w:t xml:space="preserve">. Step 5 </w:t>
      </w:r>
      <w:r>
        <w:rPr>
          <w:rFonts w:hint="default"/>
          <w:lang w:val="en-US"/>
        </w:rPr>
        <w:t>:</w:t>
      </w:r>
      <w:r>
        <w:t xml:space="preserve"> Report Generation</w:t>
      </w:r>
    </w:p>
    <w:p w14:paraId="0A3C4D47">
      <w:pPr>
        <w:spacing w:line="360" w:lineRule="auto"/>
        <w:jc w:val="both"/>
      </w:pPr>
      <w:r>
        <w:t>Reviewed findings were then converted into human-readable reports. The reporting stage uses reviewed results instead of simply copying every scanner alert.</w:t>
      </w:r>
    </w:p>
    <w:p w14:paraId="160B3110">
      <w:pPr>
        <w:pStyle w:val="23"/>
        <w:spacing w:line="360" w:lineRule="auto"/>
        <w:jc w:val="both"/>
      </w:pPr>
      <w:r>
        <w:t>Confirmed findings are separated from discarded findings.</w:t>
      </w:r>
    </w:p>
    <w:p w14:paraId="31843BDA">
      <w:pPr>
        <w:pStyle w:val="23"/>
        <w:spacing w:line="360" w:lineRule="auto"/>
        <w:jc w:val="both"/>
      </w:pPr>
      <w:r>
        <w:t>Severity counts are calculated.</w:t>
      </w:r>
    </w:p>
    <w:p w14:paraId="2A471D49">
      <w:pPr>
        <w:pStyle w:val="23"/>
        <w:spacing w:line="360" w:lineRule="auto"/>
        <w:jc w:val="both"/>
      </w:pPr>
      <w:r>
        <w:t>A Markdown report is generated.</w:t>
      </w:r>
    </w:p>
    <w:p w14:paraId="0D19E005">
      <w:pPr>
        <w:pStyle w:val="23"/>
        <w:spacing w:line="360" w:lineRule="auto"/>
        <w:jc w:val="both"/>
      </w:pPr>
      <w:r>
        <w:t>An HTML security dashboard is generated.</w:t>
      </w:r>
    </w:p>
    <w:p w14:paraId="771B080E">
      <w:pPr>
        <w:pStyle w:val="23"/>
        <w:spacing w:line="360" w:lineRule="auto"/>
        <w:jc w:val="both"/>
      </w:pPr>
      <w:r>
        <w:t>Finding location, reasoning, remediation and source context are included.</w:t>
      </w:r>
    </w:p>
    <w:p w14:paraId="741DB408">
      <w:pPr>
        <w:pStyle w:val="2"/>
        <w:spacing w:line="360" w:lineRule="auto"/>
        <w:jc w:val="both"/>
      </w:pPr>
      <w:r>
        <w:rPr>
          <w:rFonts w:hint="default"/>
          <w:lang w:val="en-US"/>
        </w:rPr>
        <w:t>9</w:t>
      </w:r>
      <w:r>
        <w:t xml:space="preserve">. Step 6 </w:t>
      </w:r>
      <w:r>
        <w:rPr>
          <w:rFonts w:hint="default"/>
          <w:lang w:val="en-US"/>
        </w:rPr>
        <w:t>:</w:t>
      </w:r>
      <w:r>
        <w:t xml:space="preserve"> Web Dashboard and API</w:t>
      </w:r>
    </w:p>
    <w:p w14:paraId="435F58EE">
      <w:pPr>
        <w:spacing w:line="360" w:lineRule="auto"/>
        <w:jc w:val="both"/>
      </w:pPr>
      <w:r>
        <w:t>Once the core pipeline was working, a lightweight FastAPI layer was added so the tool could be operated through a web interface.</w:t>
      </w:r>
    </w:p>
    <w:p w14:paraId="71C87F3E">
      <w:pPr>
        <w:pStyle w:val="23"/>
        <w:spacing w:line="360" w:lineRule="auto"/>
        <w:jc w:val="both"/>
      </w:pPr>
      <w:r>
        <w:t>API endpoints expose scan targets and scan execution.</w:t>
      </w:r>
    </w:p>
    <w:p w14:paraId="0AACCED2">
      <w:pPr>
        <w:pStyle w:val="23"/>
        <w:spacing w:line="360" w:lineRule="auto"/>
        <w:jc w:val="both"/>
      </w:pPr>
      <w:r>
        <w:t>Pipeline progress is shown in the dashboard.</w:t>
      </w:r>
    </w:p>
    <w:p w14:paraId="2D68041E">
      <w:pPr>
        <w:pStyle w:val="23"/>
        <w:spacing w:line="360" w:lineRule="auto"/>
        <w:jc w:val="both"/>
      </w:pPr>
      <w:r>
        <w:t>Server-Sent Events (SSE) were later used for live log streaming.</w:t>
      </w:r>
    </w:p>
    <w:p w14:paraId="44FA61F3">
      <w:pPr>
        <w:pStyle w:val="23"/>
        <w:spacing w:line="360" w:lineRule="auto"/>
        <w:jc w:val="both"/>
      </w:pPr>
      <w:r>
        <w:t>Generated reports can be accessed through the application.</w:t>
      </w:r>
    </w:p>
    <w:p w14:paraId="49AF4C53">
      <w:pPr>
        <w:pStyle w:val="2"/>
        <w:spacing w:line="360" w:lineRule="auto"/>
        <w:jc w:val="both"/>
      </w:pPr>
      <w:r>
        <w:rPr>
          <w:rFonts w:hint="default"/>
          <w:lang w:val="en-US"/>
        </w:rPr>
        <w:t>10</w:t>
      </w:r>
      <w:r>
        <w:t>. Phase 1 Flow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8"/>
        <w:gridCol w:w="3138"/>
        <w:gridCol w:w="4030"/>
      </w:tblGrid>
      <w:tr w14:paraId="75B61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60961BEF">
            <w:pPr>
              <w:spacing w:after="0" w:line="360" w:lineRule="auto"/>
              <w:jc w:val="both"/>
            </w:pPr>
            <w:r>
              <w:t>Stage</w:t>
            </w:r>
          </w:p>
        </w:tc>
        <w:tc>
          <w:tcPr>
            <w:tcW w:w="3360" w:type="dxa"/>
          </w:tcPr>
          <w:p w14:paraId="31E4671D">
            <w:pPr>
              <w:spacing w:after="0" w:line="360" w:lineRule="auto"/>
              <w:jc w:val="both"/>
            </w:pPr>
            <w:r>
              <w:t>Purpose</w:t>
            </w:r>
          </w:p>
        </w:tc>
        <w:tc>
          <w:tcPr>
            <w:tcW w:w="3360" w:type="dxa"/>
          </w:tcPr>
          <w:p w14:paraId="6558C49D">
            <w:pPr>
              <w:spacing w:after="0" w:line="360" w:lineRule="auto"/>
              <w:jc w:val="both"/>
            </w:pPr>
            <w:r>
              <w:t>Main Output</w:t>
            </w:r>
          </w:p>
        </w:tc>
      </w:tr>
      <w:tr w14:paraId="75CA4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FA05323">
            <w:pPr>
              <w:spacing w:after="0" w:line="360" w:lineRule="auto"/>
              <w:jc w:val="both"/>
            </w:pPr>
            <w:r>
              <w:t>1. Semgrep</w:t>
            </w:r>
          </w:p>
        </w:tc>
        <w:tc>
          <w:tcPr>
            <w:tcW w:w="3360" w:type="dxa"/>
            <w:vAlign w:val="center"/>
          </w:tcPr>
          <w:p w14:paraId="76F9E45E">
            <w:pPr>
              <w:spacing w:after="0" w:line="360" w:lineRule="auto"/>
              <w:jc w:val="both"/>
            </w:pPr>
            <w:r>
              <w:t>Find possible security issues</w:t>
            </w:r>
          </w:p>
        </w:tc>
        <w:tc>
          <w:tcPr>
            <w:tcW w:w="3360" w:type="dxa"/>
            <w:vAlign w:val="center"/>
          </w:tcPr>
          <w:p w14:paraId="4FEA5F45">
            <w:pPr>
              <w:spacing w:after="0" w:line="360" w:lineRule="auto"/>
              <w:jc w:val="both"/>
            </w:pPr>
            <w:r>
              <w:t>data/raw/semgrep_findings.json</w:t>
            </w:r>
          </w:p>
        </w:tc>
      </w:tr>
      <w:tr w14:paraId="05A42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33FD7E6">
            <w:pPr>
              <w:spacing w:after="0" w:line="360" w:lineRule="auto"/>
              <w:jc w:val="both"/>
            </w:pPr>
            <w:r>
              <w:t>2. Normalizer</w:t>
            </w:r>
          </w:p>
        </w:tc>
        <w:tc>
          <w:tcPr>
            <w:tcW w:w="3360" w:type="dxa"/>
            <w:vAlign w:val="center"/>
          </w:tcPr>
          <w:p w14:paraId="213D3DAF">
            <w:pPr>
              <w:spacing w:after="0" w:line="360" w:lineRule="auto"/>
              <w:jc w:val="both"/>
            </w:pPr>
            <w:r>
              <w:t>Create a common finding structure</w:t>
            </w:r>
          </w:p>
        </w:tc>
        <w:tc>
          <w:tcPr>
            <w:tcW w:w="3360" w:type="dxa"/>
            <w:vAlign w:val="center"/>
          </w:tcPr>
          <w:p w14:paraId="3F07C9D4">
            <w:pPr>
              <w:spacing w:after="0" w:line="360" w:lineRule="auto"/>
              <w:jc w:val="both"/>
            </w:pPr>
            <w:r>
              <w:t>data/normalized/normalized_findings.json</w:t>
            </w:r>
          </w:p>
        </w:tc>
      </w:tr>
      <w:tr w14:paraId="026F9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86BA9D1">
            <w:pPr>
              <w:spacing w:after="0" w:line="360" w:lineRule="auto"/>
              <w:jc w:val="both"/>
            </w:pPr>
            <w:r>
              <w:t>3. Source Context</w:t>
            </w:r>
          </w:p>
        </w:tc>
        <w:tc>
          <w:tcPr>
            <w:tcW w:w="3360" w:type="dxa"/>
            <w:vAlign w:val="center"/>
          </w:tcPr>
          <w:p w14:paraId="54F8EBEE">
            <w:pPr>
              <w:spacing w:after="0" w:line="360" w:lineRule="auto"/>
              <w:jc w:val="both"/>
            </w:pPr>
            <w:r>
              <w:t>Attach surrounding source code</w:t>
            </w:r>
          </w:p>
        </w:tc>
        <w:tc>
          <w:tcPr>
            <w:tcW w:w="3360" w:type="dxa"/>
            <w:vAlign w:val="center"/>
          </w:tcPr>
          <w:p w14:paraId="4CA47EEC">
            <w:pPr>
              <w:spacing w:after="0" w:line="360" w:lineRule="auto"/>
              <w:jc w:val="both"/>
            </w:pPr>
            <w:r>
              <w:t>data/normalized/findings_with_context.json</w:t>
            </w:r>
          </w:p>
        </w:tc>
      </w:tr>
      <w:tr w14:paraId="4DB4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1FDDA27">
            <w:pPr>
              <w:spacing w:after="0" w:line="360" w:lineRule="auto"/>
              <w:jc w:val="both"/>
            </w:pPr>
            <w:r>
              <w:t>4. Assessor</w:t>
            </w:r>
          </w:p>
        </w:tc>
        <w:tc>
          <w:tcPr>
            <w:tcW w:w="3360" w:type="dxa"/>
            <w:vAlign w:val="center"/>
          </w:tcPr>
          <w:p w14:paraId="70164ED2">
            <w:pPr>
              <w:spacing w:after="0" w:line="360" w:lineRule="auto"/>
              <w:jc w:val="both"/>
            </w:pPr>
            <w:r>
              <w:t>Initial AI security assessment</w:t>
            </w:r>
          </w:p>
        </w:tc>
        <w:tc>
          <w:tcPr>
            <w:tcW w:w="3360" w:type="dxa"/>
            <w:vAlign w:val="center"/>
          </w:tcPr>
          <w:p w14:paraId="61204CEF">
            <w:pPr>
              <w:spacing w:after="0" w:line="360" w:lineRule="auto"/>
              <w:jc w:val="both"/>
            </w:pPr>
            <w:r>
              <w:t>llm_assessment</w:t>
            </w:r>
          </w:p>
        </w:tc>
      </w:tr>
      <w:tr w14:paraId="0D51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1BFD616">
            <w:pPr>
              <w:spacing w:after="0" w:line="360" w:lineRule="auto"/>
              <w:jc w:val="both"/>
            </w:pPr>
            <w:r>
              <w:t>5. Reviewer</w:t>
            </w:r>
          </w:p>
        </w:tc>
        <w:tc>
          <w:tcPr>
            <w:tcW w:w="3360" w:type="dxa"/>
            <w:vAlign w:val="center"/>
          </w:tcPr>
          <w:p w14:paraId="56775E19">
            <w:pPr>
              <w:spacing w:after="0" w:line="360" w:lineRule="auto"/>
              <w:jc w:val="both"/>
            </w:pPr>
            <w:r>
              <w:t>Second-pass logical review</w:t>
            </w:r>
          </w:p>
        </w:tc>
        <w:tc>
          <w:tcPr>
            <w:tcW w:w="3360" w:type="dxa"/>
            <w:vAlign w:val="center"/>
          </w:tcPr>
          <w:p w14:paraId="4EA3DF36">
            <w:pPr>
              <w:spacing w:after="0" w:line="360" w:lineRule="auto"/>
              <w:jc w:val="both"/>
            </w:pPr>
            <w:r>
              <w:t>llm_review</w:t>
            </w:r>
          </w:p>
        </w:tc>
      </w:tr>
      <w:tr w14:paraId="7567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E52640F">
            <w:pPr>
              <w:spacing w:after="0" w:line="360" w:lineRule="auto"/>
              <w:jc w:val="both"/>
            </w:pPr>
            <w:r>
              <w:t>6. Report Generator</w:t>
            </w:r>
          </w:p>
        </w:tc>
        <w:tc>
          <w:tcPr>
            <w:tcW w:w="3360" w:type="dxa"/>
            <w:vAlign w:val="center"/>
          </w:tcPr>
          <w:p w14:paraId="56DADF2A">
            <w:pPr>
              <w:spacing w:after="0" w:line="360" w:lineRule="auto"/>
              <w:jc w:val="both"/>
            </w:pPr>
            <w:r>
              <w:t>Create final reports</w:t>
            </w:r>
          </w:p>
        </w:tc>
        <w:tc>
          <w:tcPr>
            <w:tcW w:w="3360" w:type="dxa"/>
            <w:vAlign w:val="center"/>
          </w:tcPr>
          <w:p w14:paraId="64FBA40A">
            <w:pPr>
              <w:spacing w:after="0" w:line="360" w:lineRule="auto"/>
              <w:jc w:val="both"/>
            </w:pPr>
            <w:r>
              <w:t>Markdown + HTML</w:t>
            </w:r>
          </w:p>
        </w:tc>
      </w:tr>
    </w:tbl>
    <w:p w14:paraId="029D2E9D">
      <w:pPr>
        <w:pStyle w:val="2"/>
        <w:spacing w:line="360" w:lineRule="auto"/>
        <w:jc w:val="both"/>
      </w:pPr>
      <w:r>
        <w:t>1</w:t>
      </w:r>
      <w:r>
        <w:rPr>
          <w:rFonts w:hint="default"/>
          <w:lang w:val="en-US"/>
        </w:rPr>
        <w:t>1</w:t>
      </w:r>
      <w:r>
        <w:t>. Key Design Decisions</w:t>
      </w:r>
    </w:p>
    <w:p w14:paraId="41746E80">
      <w:pPr>
        <w:pStyle w:val="23"/>
        <w:spacing w:line="360" w:lineRule="auto"/>
        <w:jc w:val="both"/>
      </w:pPr>
      <w:r>
        <w:t>Raw scanner output and normalized output are kept separate.</w:t>
      </w:r>
    </w:p>
    <w:p w14:paraId="3026A59D">
      <w:pPr>
        <w:pStyle w:val="23"/>
        <w:spacing w:line="360" w:lineRule="auto"/>
        <w:jc w:val="both"/>
      </w:pPr>
      <w:r>
        <w:t>A common finding structure is used between scanner and analysis stages.</w:t>
      </w:r>
    </w:p>
    <w:p w14:paraId="67DC6585">
      <w:pPr>
        <w:pStyle w:val="23"/>
        <w:spacing w:line="360" w:lineRule="auto"/>
        <w:jc w:val="both"/>
      </w:pPr>
      <w:r>
        <w:t>Source context is added before AI reasoning.</w:t>
      </w:r>
    </w:p>
    <w:p w14:paraId="61AD0B40">
      <w:pPr>
        <w:pStyle w:val="23"/>
        <w:spacing w:line="360" w:lineRule="auto"/>
        <w:jc w:val="both"/>
      </w:pPr>
      <w:r>
        <w:t>Two AI passes are used instead of directly treating one model response as the final result.</w:t>
      </w:r>
    </w:p>
    <w:p w14:paraId="545C28B1">
      <w:pPr>
        <w:pStyle w:val="23"/>
        <w:spacing w:line="360" w:lineRule="auto"/>
        <w:jc w:val="both"/>
      </w:pPr>
      <w:r>
        <w:t>Only reviewed findings are intended for the main security report.</w:t>
      </w:r>
    </w:p>
    <w:p w14:paraId="2206C62D">
      <w:pPr>
        <w:pStyle w:val="23"/>
        <w:spacing w:line="360" w:lineRule="auto"/>
        <w:jc w:val="both"/>
      </w:pPr>
      <w:r>
        <w:t>The web layer operates the pipeline instead of duplicating its logic.</w:t>
      </w:r>
    </w:p>
    <w:p w14:paraId="6474232B">
      <w:pPr>
        <w:pStyle w:val="2"/>
        <w:spacing w:line="360" w:lineRule="auto"/>
        <w:jc w:val="both"/>
      </w:pPr>
    </w:p>
    <w:p w14:paraId="560D0BB5">
      <w:pPr>
        <w:pStyle w:val="2"/>
        <w:spacing w:line="360" w:lineRule="auto"/>
        <w:jc w:val="both"/>
      </w:pPr>
      <w:bookmarkStart w:id="0" w:name="_GoBack"/>
      <w:bookmarkEnd w:id="0"/>
      <w:r>
        <w:t>1</w:t>
      </w:r>
      <w:r>
        <w:rPr>
          <w:rFonts w:hint="default"/>
          <w:lang w:val="en-US"/>
        </w:rPr>
        <w:t>2</w:t>
      </w:r>
      <w:r>
        <w:t>. Testing and Verification</w:t>
      </w:r>
    </w:p>
    <w:p w14:paraId="533F3DEE">
      <w:pPr>
        <w:spacing w:line="360" w:lineRule="auto"/>
        <w:jc w:val="both"/>
      </w:pPr>
      <w:r>
        <w:t>The pipeline was tested stage by stage against DVWA findings. Intermediate JSON files were inspected during development so problems could be traced to a specific stage instead of treating the whole tool as one black box.</w:t>
      </w:r>
    </w:p>
    <w:p w14:paraId="5D76ED63">
      <w:pPr>
        <w:pStyle w:val="2"/>
        <w:spacing w:line="360" w:lineRule="auto"/>
        <w:jc w:val="both"/>
      </w:pPr>
      <w:r>
        <w:t>1</w:t>
      </w:r>
      <w:r>
        <w:rPr>
          <w:rFonts w:hint="default"/>
          <w:lang w:val="en-US"/>
        </w:rPr>
        <w:t>3</w:t>
      </w:r>
      <w:r>
        <w:t>. What Phase 1 Achieved</w:t>
      </w:r>
    </w:p>
    <w:p w14:paraId="2FA89A45">
      <w:pPr>
        <w:pStyle w:val="23"/>
        <w:spacing w:line="360" w:lineRule="auto"/>
        <w:jc w:val="both"/>
      </w:pPr>
      <w:r>
        <w:t>A working Web SAST vertical slice was established.</w:t>
      </w:r>
    </w:p>
    <w:p w14:paraId="7D5FFC85">
      <w:pPr>
        <w:pStyle w:val="23"/>
        <w:spacing w:line="360" w:lineRule="auto"/>
        <w:jc w:val="both"/>
      </w:pPr>
      <w:r>
        <w:t>Semgrep findings can be captured and preserved.</w:t>
      </w:r>
    </w:p>
    <w:p w14:paraId="642666B6">
      <w:pPr>
        <w:pStyle w:val="23"/>
        <w:spacing w:line="360" w:lineRule="auto"/>
        <w:jc w:val="both"/>
      </w:pPr>
      <w:r>
        <w:t>Scanner output is converted into a common internal format.</w:t>
      </w:r>
    </w:p>
    <w:p w14:paraId="2A6BB93B">
      <w:pPr>
        <w:pStyle w:val="23"/>
        <w:spacing w:line="360" w:lineRule="auto"/>
        <w:jc w:val="both"/>
      </w:pPr>
      <w:r>
        <w:t>Relevant source context is added to findings.</w:t>
      </w:r>
    </w:p>
    <w:p w14:paraId="10ADBDC8">
      <w:pPr>
        <w:pStyle w:val="23"/>
        <w:spacing w:line="360" w:lineRule="auto"/>
        <w:jc w:val="both"/>
      </w:pPr>
      <w:r>
        <w:t>Two-pass AI assessment and review were integrated.</w:t>
      </w:r>
    </w:p>
    <w:p w14:paraId="4A58723D">
      <w:pPr>
        <w:pStyle w:val="23"/>
        <w:spacing w:line="360" w:lineRule="auto"/>
        <w:jc w:val="both"/>
      </w:pPr>
      <w:r>
        <w:t>Reviewed results can be converted into Markdown and HTML reports.</w:t>
      </w:r>
    </w:p>
    <w:p w14:paraId="7CF2AADE">
      <w:pPr>
        <w:pStyle w:val="23"/>
        <w:spacing w:line="360" w:lineRule="auto"/>
        <w:jc w:val="both"/>
      </w:pPr>
      <w:r>
        <w:t>FastAPI and SSE provide a usable web interface and live pipeline visibility.</w:t>
      </w:r>
    </w:p>
    <w:p w14:paraId="6C1CE0F3">
      <w:pPr>
        <w:spacing w:line="360" w:lineRule="auto"/>
        <w:jc w:val="both"/>
      </w:pP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DBD35">
    <w:pPr>
      <w:pStyle w:val="18"/>
      <w:jc w:val="center"/>
    </w:pPr>
    <w:r>
      <w:rPr>
        <w:sz w:val="16"/>
      </w:rPr>
      <w:t>CCPL Web SAST/DAST Tool — Phase 1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CFB779D"/>
    <w:multiLevelType w:val="singleLevel"/>
    <w:tmpl w:val="7CFB779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2747CF"/>
    <w:rsid w:val="3F310E94"/>
    <w:rsid w:val="45D50676"/>
    <w:rsid w:val="54C07E9B"/>
    <w:rsid w:val="78B0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789</Words>
  <Characters>4384</Characters>
  <Lines>0</Lines>
  <Paragraphs>0</Paragraphs>
  <TotalTime>10</TotalTime>
  <ScaleCrop>false</ScaleCrop>
  <LinksUpToDate>false</LinksUpToDate>
  <CharactersWithSpaces>5080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Saqib</cp:lastModifiedBy>
  <dcterms:modified xsi:type="dcterms:W3CDTF">2026-08-16T17:50:56Z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eyJoZGlkIjoiMWI4NWYzZGFkNDJiYTY1ODFjMTg3YjM5MmNjODNlNDkiLCJ1c2VySWQiOiIxOTQxODcxNjc2MTU2In0=</vt:lpwstr>
  </property>
  <property fmtid="{D5CDD505-2E9C-101B-9397-08002B2CF9AE}" pid="3" name="KSOProductBuildVer">
    <vt:lpwstr>1033-12.1.0.28032</vt:lpwstr>
  </property>
  <property fmtid="{D5CDD505-2E9C-101B-9397-08002B2CF9AE}" pid="4" name="ICV">
    <vt:lpwstr>BD8081693BA04571A49374E46CC1786B_12</vt:lpwstr>
  </property>
</Properties>
</file>