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i/>
          <w:sz w:val="18"/>
        </w:rPr>
        <w:t>Draft prepared on 4 October 2026 from the project MVP specification and current implementation. Original scope document pending confirmation. Built features and remaining deliverables are distinguished below; external integrations are not certified as live-tested by this document.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3139"/>
        <w:gridCol w:w="7142"/>
      </w:tblGrid>
      <w:tr>
        <w:trPr>
          <w:cantSplit/>
        </w:trPr>
        <w:tc>
          <w:tcPr>
            <w:tcW w:type="dxa" w:w="3139"/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Project Title</w:t>
            </w:r>
          </w:p>
        </w:tc>
        <w:tc>
          <w:tcPr>
            <w:tcW w:type="dxa" w:w="7142"/>
            <w:vAlign w:val="top"/>
          </w:tcPr>
          <w:p>
            <w:pPr>
              <w:pStyle w:val="Title"/>
              <w:spacing w:after="0"/>
              <w:jc w:val="center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</w:pPr>
            <w:r>
              <w:rPr>
                <w:rFonts w:ascii="Times New Roman" w:hAnsi="Times New Roman"/>
                <w:b/>
                <w:color w:val="000000"/>
              </w:rPr>
              <w:t>Multi CRM Unified Sales Platform</w:t>
            </w:r>
          </w:p>
        </w:tc>
      </w:tr>
      <w:tr>
        <w:trPr>
          <w:trHeight w:val="331" w:hRule="atLeast"/>
          <w:cantSplit/>
        </w:trPr>
        <w:tc>
          <w:tcPr>
            <w:tcW w:type="dxa" w:w="3139"/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Supervisor Name</w:t>
            </w:r>
          </w:p>
        </w:tc>
        <w:tc>
          <w:tcPr>
            <w:tcW w:type="dxa" w:w="7142"/>
            <w:vAlign w:val="top"/>
          </w:tcPr>
          <w:p/>
        </w:tc>
      </w:tr>
      <w:tr>
        <w:trPr>
          <w:trHeight w:val="331" w:hRule="atLeast"/>
          <w:cantSplit/>
        </w:trPr>
        <w:tc>
          <w:tcPr>
            <w:tcW w:type="dxa" w:w="3139"/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Co Supervisor Name</w:t>
            </w:r>
          </w:p>
        </w:tc>
        <w:tc>
          <w:tcPr>
            <w:tcW w:type="dxa" w:w="7142"/>
            <w:vAlign w:val="top"/>
          </w:tcPr>
          <w:p/>
        </w:tc>
      </w:tr>
      <w:tr>
        <w:trPr>
          <w:trHeight w:val="331" w:hRule="atLeast"/>
          <w:cantSplit/>
        </w:trPr>
        <w:tc>
          <w:tcPr>
            <w:tcW w:type="dxa" w:w="7142"/>
            <w:gridSpan w:val="2"/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Group Information</w:t>
            </w:r>
          </w:p>
        </w:tc>
      </w:tr>
      <w:tr>
        <w:trPr>
          <w:trHeight w:val="331" w:hRule="atLeast"/>
          <w:cantSplit/>
        </w:trPr>
        <w:tc>
          <w:tcPr>
            <w:tcW w:type="dxa" w:w="3139"/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Roll Number</w:t>
            </w:r>
          </w:p>
        </w:tc>
        <w:tc>
          <w:tcPr>
            <w:tcW w:type="dxa" w:w="7142"/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Student Name</w:t>
            </w:r>
          </w:p>
        </w:tc>
      </w:tr>
      <w:tr>
        <w:trPr>
          <w:trHeight w:val="331" w:hRule="atLeast"/>
          <w:cantSplit/>
        </w:trPr>
        <w:tc>
          <w:tcPr>
            <w:tcW w:type="dxa" w:w="3139"/>
            <w:vAlign w:val="top"/>
          </w:tcPr>
          <w:p/>
        </w:tc>
        <w:tc>
          <w:tcPr>
            <w:tcW w:type="dxa" w:w="7142"/>
            <w:vAlign w:val="top"/>
          </w:tcPr>
          <w:p/>
        </w:tc>
      </w:tr>
      <w:tr>
        <w:trPr>
          <w:trHeight w:val="331" w:hRule="atLeast"/>
          <w:cantSplit/>
        </w:trPr>
        <w:tc>
          <w:tcPr>
            <w:tcW w:type="dxa" w:w="3139"/>
            <w:vAlign w:val="top"/>
          </w:tcPr>
          <w:p/>
        </w:tc>
        <w:tc>
          <w:tcPr>
            <w:tcW w:type="dxa" w:w="7142"/>
            <w:vAlign w:val="top"/>
          </w:tcPr>
          <w:p/>
        </w:tc>
      </w:tr>
      <w:tr>
        <w:trPr>
          <w:trHeight w:val="331" w:hRule="atLeast"/>
          <w:cantSplit/>
        </w:trPr>
        <w:tc>
          <w:tcPr>
            <w:tcW w:type="dxa" w:w="3139"/>
            <w:vAlign w:val="top"/>
          </w:tcPr>
          <w:p/>
        </w:tc>
        <w:tc>
          <w:tcPr>
            <w:tcW w:type="dxa" w:w="7142"/>
            <w:vAlign w:val="top"/>
          </w:tcPr>
          <w:p/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3139"/>
        <w:gridCol w:w="7142"/>
      </w:tblGrid>
      <w:tr>
        <w:trPr>
          <w:tblHeader/>
          <w:cantSplit/>
        </w:trPr>
        <w:tc>
          <w:tcPr>
            <w:tcW w:type="dxa" w:w="3139"/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Module Name</w:t>
            </w:r>
          </w:p>
        </w:tc>
        <w:tc>
          <w:tcPr>
            <w:tcW w:type="dxa" w:w="7142"/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Module Description with Deliverables</w:t>
            </w:r>
          </w:p>
        </w:tc>
      </w:tr>
      <w:tr>
        <w:trPr>
          <w:cantSplit/>
        </w:trPr>
        <w:tc>
          <w:tcPr>
            <w:tcW w:type="dxa" w:w="3139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User Management and Access Control</w:t>
            </w:r>
          </w:p>
        </w:tc>
        <w:tc>
          <w:tcPr>
            <w:tcW w:type="dxa" w:w="7142"/>
            <w:vAlign w:val="top"/>
          </w:tcPr>
          <w:p>
            <w:pPr>
              <w:spacing w:after="60"/>
              <w:ind w:left="202" w:hanging="173"/>
            </w:pPr>
            <w:r>
              <w:t>•  Secure login and logout with password hashing and database-backed sessions.</w:t>
            </w:r>
          </w:p>
          <w:p>
            <w:pPr>
              <w:spacing w:after="60"/>
              <w:ind w:left="202" w:hanging="173"/>
            </w:pPr>
            <w:r>
              <w:t>•  Separate Admin and Agent workspaces; Manager access to administrative functions.</w:t>
            </w:r>
          </w:p>
          <w:p>
            <w:pPr>
              <w:spacing w:after="60"/>
              <w:ind w:left="202" w:hanging="173"/>
            </w:pPr>
            <w:r>
              <w:t>•  Client assignments, selected-client access controls and organization isolation.</w:t>
            </w:r>
          </w:p>
          <w:p>
            <w:pPr>
              <w:spacing w:after="60"/>
              <w:ind w:left="202" w:hanging="173"/>
            </w:pPr>
            <w:r>
              <w:t>•  User, client and integration administration with recorded audit activity.</w:t>
            </w:r>
          </w:p>
          <w:p>
            <w:pPr>
              <w:spacing w:after="0"/>
            </w:pPr>
            <w:r>
              <w:rPr>
                <w:b/>
              </w:rPr>
              <w:t xml:space="preserve">Status  </w:t>
            </w:r>
            <w:r>
              <w:rPr>
                <w:i/>
              </w:rPr>
              <w:t>Supporting platform capability. Independent agent signup, email verification and Google sign-in remain deferred on a separate branch.</w:t>
            </w:r>
          </w:p>
        </w:tc>
      </w:tr>
      <w:tr>
        <w:trPr>
          <w:cantSplit/>
        </w:trPr>
        <w:tc>
          <w:tcPr>
            <w:tcW w:type="dxa" w:w="3139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6.1 Multi CRM Sync Engine</w:t>
            </w:r>
          </w:p>
        </w:tc>
        <w:tc>
          <w:tcPr>
            <w:tcW w:type="dxa" w:w="7142"/>
            <w:vAlign w:val="top"/>
          </w:tcPr>
          <w:p>
            <w:pPr>
              <w:spacing w:after="60"/>
              <w:ind w:left="202" w:hanging="173"/>
            </w:pPr>
            <w:r>
              <w:t>•  HubSpot agency CRM with unified contacts, companies, deals, owners and sales activities.</w:t>
            </w:r>
          </w:p>
          <w:p>
            <w:pPr>
              <w:spacing w:after="60"/>
              <w:ind w:left="202" w:hanging="173"/>
            </w:pPr>
            <w:r>
              <w:t>•  Client-specific Zoho CRM records, synchronization and supported record editing.</w:t>
            </w:r>
          </w:p>
          <w:p>
            <w:pPr>
              <w:spacing w:after="60"/>
              <w:ind w:left="202" w:hanging="173"/>
            </w:pPr>
            <w:r>
              <w:t>•  Closed Won handoff from agency deals to the relevant client CRM with duplicate protection and retry.</w:t>
            </w:r>
          </w:p>
          <w:p>
            <w:pPr>
              <w:spacing w:after="60"/>
              <w:ind w:left="202" w:hanging="173"/>
            </w:pPr>
            <w:r>
              <w:t>•  Provider connections, encrypted credentials, synchronization history and manual Sync or Retry controls.</w:t>
            </w:r>
          </w:p>
          <w:p>
            <w:pPr>
              <w:spacing w:after="0"/>
            </w:pPr>
            <w:r>
              <w:rPr>
                <w:b/>
              </w:rPr>
              <w:t xml:space="preserve">Status  </w:t>
            </w:r>
            <w:r>
              <w:rPr>
                <w:i/>
              </w:rPr>
              <w:t>Full automatic cross-system synchronization and conflict recovery still require completion and verification. External writes do not form one atomic transaction.</w:t>
            </w:r>
          </w:p>
        </w:tc>
      </w:tr>
      <w:tr>
        <w:trPr>
          <w:cantSplit/>
        </w:trPr>
        <w:tc>
          <w:tcPr>
            <w:tcW w:type="dxa" w:w="3139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6.2 VoIP and SMS Identity Gateway</w:t>
            </w:r>
          </w:p>
        </w:tc>
        <w:tc>
          <w:tcPr>
            <w:tcW w:type="dxa" w:w="7142"/>
            <w:vAlign w:val="top"/>
          </w:tcPr>
          <w:p>
            <w:pPr>
              <w:spacing w:after="60"/>
              <w:ind w:left="202" w:hanging="173"/>
            </w:pPr>
            <w:r>
              <w:t>•  Administrator assignment of client-specific Twilio numbers and agent identity selection.</w:t>
            </w:r>
          </w:p>
          <w:p>
            <w:pPr>
              <w:spacing w:after="60"/>
              <w:ind w:left="202" w:hanging="173"/>
            </w:pPr>
            <w:r>
              <w:t>•  Outbound SMS and phone calls that ring the agent first, then bridge the selected contact.</w:t>
            </w:r>
          </w:p>
          <w:p>
            <w:pPr>
              <w:spacing w:after="60"/>
              <w:ind w:left="202" w:hanging="173"/>
            </w:pPr>
            <w:r>
              <w:t>•  Signed incoming SMS and voice webhooks, client routing and optional incoming-call forwarding.</w:t>
            </w:r>
          </w:p>
          <w:p>
            <w:pPr>
              <w:spacing w:after="60"/>
              <w:ind w:left="202" w:hanging="173"/>
            </w:pPr>
            <w:r>
              <w:t>•  Delivery status, call outcomes and duration recorded in the timeline; manual call and SMS links remain available.</w:t>
            </w:r>
          </w:p>
          <w:p>
            <w:pPr>
              <w:spacing w:after="0"/>
            </w:pPr>
            <w:r>
              <w:rPr>
                <w:b/>
              </w:rPr>
              <w:t xml:space="preserve">Status  </w:t>
            </w:r>
            <w:r>
              <w:rPr>
                <w:i/>
              </w:rPr>
              <w:t>Implemented in the current branch. Live Twilio verification requires configured credentials, numbers and a public callback address.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3139"/>
        <w:gridCol w:w="7142"/>
      </w:tblGrid>
      <w:tr>
        <w:trPr>
          <w:tblHeader/>
          <w:cantSplit/>
        </w:trPr>
        <w:tc>
          <w:tcPr>
            <w:tcW w:type="dxa" w:w="3139"/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Module Name</w:t>
            </w:r>
          </w:p>
        </w:tc>
        <w:tc>
          <w:tcPr>
            <w:tcW w:type="dxa" w:w="7142"/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Module Description with Deliverables</w:t>
            </w:r>
          </w:p>
        </w:tc>
      </w:tr>
      <w:tr>
        <w:trPr>
          <w:cantSplit/>
        </w:trPr>
        <w:tc>
          <w:tcPr>
            <w:tcW w:type="dxa" w:w="3139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6.3 Unified Interaction Aggregator</w:t>
            </w:r>
          </w:p>
        </w:tc>
        <w:tc>
          <w:tcPr>
            <w:tcW w:type="dxa" w:w="7142"/>
            <w:vAlign w:val="top"/>
          </w:tcPr>
          <w:p>
            <w:pPr>
              <w:spacing w:after="60"/>
              <w:ind w:left="202" w:hanging="173"/>
            </w:pPr>
            <w:r>
              <w:t>•  A client-specific timeline linking interactions to contacts, companies and deals.</w:t>
            </w:r>
          </w:p>
          <w:p>
            <w:pPr>
              <w:spacing w:after="60"/>
              <w:ind w:left="202" w:hanging="173"/>
            </w:pPr>
            <w:r>
              <w:t>•  Imported HubSpot calls, meetings, tasks, notes and permitted email activities.</w:t>
            </w:r>
          </w:p>
          <w:p>
            <w:pPr>
              <w:spacing w:after="60"/>
              <w:ind w:left="202" w:hanging="173"/>
            </w:pPr>
            <w:r>
              <w:t>•  Incoming and outgoing Twilio events with status updates and duplicate protection.</w:t>
            </w:r>
          </w:p>
          <w:p>
            <w:pPr>
              <w:spacing w:after="60"/>
              <w:ind w:left="202" w:hanging="173"/>
            </w:pPr>
            <w:r>
              <w:t>•  Manual interaction and note entry, filtering, and refresh of communication activity.</w:t>
            </w:r>
          </w:p>
          <w:p>
            <w:pPr>
              <w:spacing w:after="0"/>
            </w:pPr>
            <w:r>
              <w:rPr>
                <w:b/>
              </w:rPr>
              <w:t xml:space="preserve">Status  </w:t>
            </w:r>
            <w:r>
              <w:rPr>
                <w:i/>
              </w:rPr>
              <w:t>HubSpot email history depends on provider permission. Dedicated mailbox ingestion and automatic call transcription remain pending.</w:t>
            </w:r>
          </w:p>
        </w:tc>
      </w:tr>
      <w:tr>
        <w:trPr>
          <w:cantSplit/>
        </w:trPr>
        <w:tc>
          <w:tcPr>
            <w:tcW w:type="dxa" w:w="3139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6.4 AI Intelligence and Lead Analysis</w:t>
            </w:r>
          </w:p>
        </w:tc>
        <w:tc>
          <w:tcPr>
            <w:tcW w:type="dxa" w:w="7142"/>
            <w:vAlign w:val="top"/>
          </w:tcPr>
          <w:p>
            <w:pPr>
              <w:spacing w:after="60"/>
              <w:ind w:left="202" w:hanging="173"/>
            </w:pPr>
            <w:r>
              <w:t>•  Transcript entry linked to an active-client contact and stored analysis history.</w:t>
            </w:r>
          </w:p>
          <w:p>
            <w:pPr>
              <w:spacing w:after="60"/>
              <w:ind w:left="202" w:hanging="173"/>
            </w:pPr>
            <w:r>
              <w:t>•  Rule-based extraction of budget, timeline, requirements, intent and objections.</w:t>
            </w:r>
          </w:p>
          <w:p>
            <w:pPr>
              <w:spacing w:after="60"/>
              <w:ind w:left="202" w:hanging="173"/>
            </w:pPr>
            <w:r>
              <w:t>•  Explainable lead score, lead temperature and deal-probability estimates.</w:t>
            </w:r>
          </w:p>
          <w:p>
            <w:pPr>
              <w:spacing w:after="60"/>
              <w:ind w:left="202" w:hanging="173"/>
            </w:pPr>
            <w:r>
              <w:t>•  Manual review and correction of analysis fields and scores with audit records.</w:t>
            </w:r>
          </w:p>
          <w:p>
            <w:pPr>
              <w:spacing w:after="0"/>
            </w:pPr>
            <w:r>
              <w:rPr>
                <w:b/>
              </w:rPr>
              <w:t xml:space="preserve">Status  </w:t>
            </w:r>
            <w:r>
              <w:rPr>
                <w:i/>
              </w:rPr>
              <w:t>The current analysis uses deterministic rules. AI model integration, automatic transcript ingestion and approved extraction-to-CRM updates remain pending.</w:t>
            </w:r>
          </w:p>
        </w:tc>
      </w:tr>
      <w:tr>
        <w:trPr>
          <w:cantSplit/>
        </w:trPr>
        <w:tc>
          <w:tcPr>
            <w:tcW w:type="dxa" w:w="3139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6.5 Sales Script Architect</w:t>
            </w:r>
          </w:p>
        </w:tc>
        <w:tc>
          <w:tcPr>
            <w:tcW w:type="dxa" w:w="7142"/>
            <w:vAlign w:val="top"/>
          </w:tcPr>
          <w:p>
            <w:pPr>
              <w:spacing w:after="60"/>
              <w:ind w:left="202" w:hanging="173"/>
            </w:pPr>
            <w:r>
              <w:t>•  Context-based script drafts using client branding, contact details and saved lead analysis.</w:t>
            </w:r>
          </w:p>
          <w:p>
            <w:pPr>
              <w:spacing w:after="60"/>
              <w:ind w:left="202" w:hanging="173"/>
            </w:pPr>
            <w:r>
              <w:t>•  Template generation for call, SMS and email channels with a selected purpose.</w:t>
            </w:r>
          </w:p>
          <w:p>
            <w:pPr>
              <w:spacing w:after="60"/>
              <w:ind w:left="202" w:hanging="173"/>
            </w:pPr>
            <w:r>
              <w:t>•  Saved scripts and reusable templates available in the agent workspace.</w:t>
            </w:r>
          </w:p>
          <w:p>
            <w:pPr>
              <w:spacing w:after="60"/>
              <w:ind w:left="202" w:hanging="173"/>
            </w:pPr>
            <w:r>
              <w:t>•  Manual script creation, editing and override with client-scoped storage.</w:t>
            </w:r>
          </w:p>
          <w:p>
            <w:pPr>
              <w:spacing w:after="0"/>
            </w:pPr>
            <w:r>
              <w:rPr>
                <w:b/>
              </w:rPr>
              <w:t xml:space="preserve">Status  </w:t>
            </w:r>
            <w:r>
              <w:rPr>
                <w:i/>
              </w:rPr>
              <w:t>Generation is template-based. AI-written and adaptive sales scripts remain pending.</w:t>
            </w:r>
          </w:p>
        </w:tc>
      </w:tr>
      <w:tr>
        <w:trPr>
          <w:cantSplit/>
        </w:trPr>
        <w:tc>
          <w:tcPr>
            <w:tcW w:type="dxa" w:w="3139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6.6 Commission and Financial Tracker</w:t>
            </w:r>
          </w:p>
        </w:tc>
        <w:tc>
          <w:tcPr>
            <w:tcW w:type="dxa" w:w="7142"/>
            <w:vAlign w:val="top"/>
          </w:tcPr>
          <w:p>
            <w:pPr>
              <w:spacing w:after="60"/>
              <w:ind w:left="202" w:hanging="173"/>
            </w:pPr>
            <w:r>
              <w:t>•  Automatic commission creation for attributed Closed Won deals with a closing snapshot.</w:t>
            </w:r>
          </w:p>
          <w:p>
            <w:pPr>
              <w:spacing w:after="60"/>
              <w:ind w:left="202" w:hanging="173"/>
            </w:pPr>
            <w:r>
              <w:t>•  Rate selection from deal, agent, client or agency defaults.</w:t>
            </w:r>
          </w:p>
          <w:p>
            <w:pPr>
              <w:spacing w:after="60"/>
              <w:ind w:left="202" w:hanging="173"/>
            </w:pPr>
            <w:r>
              <w:t>•  Expected, received and pending balances with payment entries and audited manual corrections.</w:t>
            </w:r>
          </w:p>
          <w:p>
            <w:pPr>
              <w:spacing w:after="60"/>
              <w:ind w:left="202" w:hanging="173"/>
            </w:pPr>
            <w:r>
              <w:t>•  Agent and agency reporting, inclusive closing-date filters, currency-separated totals and CSV export.</w:t>
            </w:r>
          </w:p>
          <w:p>
            <w:pPr>
              <w:spacing w:after="0"/>
            </w:pPr>
            <w:r>
              <w:rPr>
                <w:b/>
              </w:rPr>
              <w:t xml:space="preserve">Status  </w:t>
            </w:r>
            <w:r>
              <w:rPr>
                <w:i/>
              </w:rPr>
              <w:t>Live CRM verification remains necessary. Payment-date cash-flow reports and historical balance snapshots are separate future work.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3139"/>
        <w:gridCol w:w="7142"/>
      </w:tblGrid>
      <w:tr>
        <w:trPr>
          <w:tblHeader/>
          <w:cantSplit/>
        </w:trPr>
        <w:tc>
          <w:tcPr>
            <w:tcW w:type="dxa" w:w="3139"/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Module Name</w:t>
            </w:r>
          </w:p>
        </w:tc>
        <w:tc>
          <w:tcPr>
            <w:tcW w:type="dxa" w:w="7142"/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Module Description with Deliverables</w:t>
            </w:r>
          </w:p>
        </w:tc>
      </w:tr>
      <w:tr>
        <w:trPr>
          <w:cantSplit/>
        </w:trPr>
        <w:tc>
          <w:tcPr>
            <w:tcW w:type="dxa" w:w="3139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6.7 Sales Ops Reconciliation</w:t>
            </w:r>
          </w:p>
        </w:tc>
        <w:tc>
          <w:tcPr>
            <w:tcW w:type="dxa" w:w="7142"/>
            <w:vAlign w:val="top"/>
          </w:tcPr>
          <w:p>
            <w:pPr>
              <w:spacing w:after="60"/>
              <w:ind w:left="202" w:hanging="173"/>
            </w:pPr>
            <w:r>
              <w:t>•  Automatic active-work tracking by agent and selected client with Pause and Resume controls.</w:t>
            </w:r>
          </w:p>
          <w:p>
            <w:pPr>
              <w:spacing w:after="60"/>
              <w:ind w:left="202" w:hanging="173"/>
            </w:pPr>
            <w:r>
              <w:t>•  Focus and inactivity handling, server-calculated time and protection against overlapping sessions.</w:t>
            </w:r>
          </w:p>
          <w:p>
            <w:pPr>
              <w:spacing w:after="60"/>
              <w:ind w:left="202" w:hanging="173"/>
            </w:pPr>
            <w:r>
              <w:t>•  Manual time entries, correction of recorded work and reconciliation of operational totals.</w:t>
            </w:r>
          </w:p>
          <w:p>
            <w:pPr>
              <w:spacing w:after="60"/>
              <w:ind w:left="202" w:hanging="173"/>
            </w:pPr>
            <w:r>
              <w:t>•  Personal closed-deal tracker with optional ClickUp task synchronization and retry; financial reconciliation uses commission balances.</w:t>
            </w:r>
          </w:p>
          <w:p>
            <w:pPr>
              <w:spacing w:after="0"/>
            </w:pPr>
            <w:r>
              <w:rPr>
                <w:b/>
              </w:rPr>
              <w:t xml:space="preserve">Status  </w:t>
            </w:r>
            <w:r>
              <w:rPr>
                <w:i/>
              </w:rPr>
              <w:t>Core time tracking and reconciliation are implemented. Offline work requires manual entry; live ClickUp verification remains provider-dependent.</w:t>
            </w:r>
          </w:p>
        </w:tc>
      </w:tr>
      <w:tr>
        <w:trPr>
          <w:cantSplit/>
        </w:trPr>
        <w:tc>
          <w:tcPr>
            <w:tcW w:type="dxa" w:w="3139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6.8 Workflow and Smart Scheduling</w:t>
            </w:r>
          </w:p>
        </w:tc>
        <w:tc>
          <w:tcPr>
            <w:tcW w:type="dxa" w:w="7142"/>
            <w:vAlign w:val="top"/>
          </w:tcPr>
          <w:p>
            <w:pPr>
              <w:spacing w:after="60"/>
              <w:ind w:left="202" w:hanging="173"/>
            </w:pPr>
            <w:r>
              <w:t>•  Client-linked local appointments with create, edit, confirm and cancel actions.</w:t>
            </w:r>
          </w:p>
          <w:p>
            <w:pPr>
              <w:spacing w:after="60"/>
              <w:ind w:left="202" w:hanging="173"/>
            </w:pPr>
            <w:r>
              <w:t>•  Agent-owned Google Calendar, Outlook and Calendly OAuth connections.</w:t>
            </w:r>
          </w:p>
          <w:p>
            <w:pPr>
              <w:spacing w:after="60"/>
              <w:ind w:left="202" w:hanging="173"/>
            </w:pPr>
            <w:r>
              <w:t>•  Supported external booking, update or cancellation, optional invitations and synchronization retry or refresh.</w:t>
            </w:r>
          </w:p>
          <w:p>
            <w:pPr>
              <w:spacing w:after="60"/>
              <w:ind w:left="202" w:hanging="173"/>
            </w:pPr>
            <w:r>
              <w:t>•  Calendly individual event-type management and weekly availability editing; manual scheduling remains available.</w:t>
            </w:r>
          </w:p>
          <w:p>
            <w:pPr>
              <w:spacing w:after="0"/>
            </w:pPr>
            <w:r>
              <w:rPr>
                <w:b/>
              </w:rPr>
              <w:t xml:space="preserve">Status  </w:t>
            </w:r>
            <w:r>
              <w:rPr>
                <w:i/>
              </w:rPr>
              <w:t>Provider verification is still required, including Outlook. AI meeting-intent detection and extended Calendly question/location handling remain pending.</w:t>
            </w:r>
          </w:p>
        </w:tc>
      </w:tr>
      <w:tr>
        <w:trPr>
          <w:cantSplit/>
        </w:trPr>
        <w:tc>
          <w:tcPr>
            <w:tcW w:type="dxa" w:w="3139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6.9 Document and Proposal Generator</w:t>
            </w:r>
          </w:p>
        </w:tc>
        <w:tc>
          <w:tcPr>
            <w:tcW w:type="dxa" w:w="7142"/>
            <w:vAlign w:val="top"/>
          </w:tcPr>
          <w:p>
            <w:pPr>
              <w:spacing w:after="60"/>
              <w:ind w:left="202" w:hanging="173"/>
            </w:pPr>
            <w:r>
              <w:t>•  Template-based proposals, follow-up email drafts and message drafts using client and lead context.</w:t>
            </w:r>
          </w:p>
          <w:p>
            <w:pPr>
              <w:spacing w:after="60"/>
              <w:ind w:left="202" w:hanging="173"/>
            </w:pPr>
            <w:r>
              <w:t>•  Editable stored drafts, manual documents and draft/final status management.</w:t>
            </w:r>
          </w:p>
          <w:p>
            <w:pPr>
              <w:spacing w:after="60"/>
              <w:ind w:left="202" w:hanging="173"/>
            </w:pPr>
            <w:r>
              <w:t>•  Linking documents to contacts, lead analyses and deals within the selected client.</w:t>
            </w:r>
          </w:p>
          <w:p>
            <w:pPr>
              <w:spacing w:after="60"/>
              <w:ind w:left="202" w:hanging="173"/>
            </w:pPr>
            <w:r>
              <w:t>•  PDF upload, storage and download with audit records; uploaded PDFs are replaced by re-uploading revised files.</w:t>
            </w:r>
          </w:p>
          <w:p>
            <w:pPr>
              <w:spacing w:after="0"/>
            </w:pPr>
            <w:r>
              <w:rPr>
                <w:b/>
              </w:rPr>
              <w:t xml:space="preserve">Status  </w:t>
            </w:r>
            <w:r>
              <w:rPr>
                <w:i/>
              </w:rPr>
              <w:t>Draft generation is template-based. AI proposal drafting remains pending.</w:t>
            </w:r>
          </w:p>
        </w:tc>
      </w:tr>
    </w:tbl>
    <w:p>
      <w:pPr>
        <w:spacing w:before="160" w:after="60"/>
      </w:pPr>
      <w:r>
        <w:rPr>
          <w:b/>
        </w:rPr>
        <w:t>Evaluator Feedback</w:t>
      </w:r>
    </w:p>
    <w:p>
      <w:pPr>
        <w:spacing w:after="100"/>
      </w:pPr>
      <w:r>
        <w:t>Please record recommended improvements or additional modules in the section below.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CellMar>
          <w:top w:w="65" w:type="dxa"/>
          <w:bottom w:w="65" w:type="dxa"/>
          <w:left w:w="90" w:type="dxa"/>
          <w:right w:w="90" w:type="dxa"/>
        </w:tblCellMar>
      </w:tblPr>
      <w:tblGrid>
        <w:gridCol w:w="3139"/>
        <w:gridCol w:w="7142"/>
      </w:tblGrid>
      <w:tr>
        <w:trPr>
          <w:cantSplit/>
        </w:trPr>
        <w:tc>
          <w:tcPr>
            <w:tcW w:type="dxa" w:w="3139"/>
            <w:vAlign w:val="top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Evaluator Name</w:t>
            </w:r>
          </w:p>
        </w:tc>
        <w:tc>
          <w:tcPr>
            <w:tcW w:type="dxa" w:w="7142"/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Suggestions</w:t>
            </w:r>
          </w:p>
        </w:tc>
      </w:tr>
      <w:tr>
        <w:trPr>
          <w:trHeight w:val="605" w:hRule="atLeast"/>
          <w:cantSplit/>
        </w:trPr>
        <w:tc>
          <w:tcPr>
            <w:tcW w:type="dxa" w:w="3139"/>
            <w:vAlign w:val="top"/>
          </w:tcPr>
          <w:p/>
        </w:tc>
        <w:tc>
          <w:tcPr>
            <w:tcW w:type="dxa" w:w="7142"/>
            <w:vAlign w:val="top"/>
          </w:tcPr>
          <w:p/>
        </w:tc>
      </w:tr>
    </w:tbl>
    <w:p>
      <w:pPr>
        <w:spacing w:before="220"/>
      </w:pPr>
      <w:r>
        <w:rPr>
          <w:sz w:val="20"/>
        </w:rPr>
        <w:t>Supervisor Signature  __________________</w:t>
      </w:r>
      <w:r>
        <w:rPr>
          <w:sz w:val="20"/>
        </w:rPr>
        <w:t xml:space="preserve">     FYP Committee Member Signature  __________________</w:t>
      </w:r>
    </w:p>
    <w:p>
      <w:pPr>
        <w:spacing w:before="100" w:after="0"/>
      </w:pPr>
      <w:r>
        <w:rPr>
          <w:sz w:val="16"/>
        </w:rPr>
        <w:t>Source basis  mvp.md; MVP_PROGRESS.md; current application services; Twilio, calendar, commission reconciliation and active time tracking documentation. The nine module numbers follow the project specification; user management is included as a supporting capability.</w:t>
      </w:r>
    </w:p>
    <w:sectPr w:rsidR="00FC693F" w:rsidRPr="0006063C" w:rsidSect="00034616">
      <w:footerReference w:type="default" r:id="rId9"/>
      <w:pgSz w:w="12240" w:h="15840"/>
      <w:pgMar w:top="792" w:right="979" w:bottom="792" w:left="979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Module Document Draft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spacing w:before="0" w:after="60" w:line="240" w:lineRule="auto"/>
      <w:outlineLvl w:val="0"/>
    </w:pPr>
    <w:rPr>
      <w:rFonts w:ascii="Times New Roman" w:hAnsi="Times New Roman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spacing w:before="0" w:after="60" w:line="240" w:lineRule="auto"/>
      <w:outlineLvl w:val="1"/>
    </w:pPr>
    <w:rPr>
      <w:rFonts w:ascii="Times New Roman" w:hAnsi="Times New Roman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60" w:line="240" w:lineRule="auto" w:before="0"/>
      <w:contextualSpacing/>
    </w:pPr>
    <w:rPr>
      <w:rFonts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numPr>
        <w:numId w:val="1"/>
      </w:numPr>
      <w:spacing w:before="0" w:after="60" w:line="240" w:lineRule="auto"/>
      <w:contextualSpacing/>
    </w:pPr>
    <w:rPr>
      <w:rFonts w:ascii="Times New Roman" w:hAnsi="Times New Roman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 CRM Unified Sales Platform Module Document</dc:title>
  <dc:subject>Built modules and remaining deliverables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