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Report: IDEM-DQN Implementation and Results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1. Introduction</w:t>
        <w:br w:type="textWrapping"/>
      </w:r>
      <w:r w:rsidDel="00000000" w:rsidR="00000000" w:rsidRPr="00000000">
        <w:rPr>
          <w:rtl w:val="0"/>
        </w:rPr>
        <w:t xml:space="preserve"> The goal of this project was to investigate how integrating a learned dynamics model into a standard Deep Q-Network—with an online, error-driven weighting (IDEM-DQN)—affects sample efficiency and adaptability. By allowing the agent to blend model-based rollouts with model-free Bellman updates according to their respective reliability, we hypothesize faster learning on CartPole and more rapid recovery when the environment shifts.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2. Model Setup</w:t>
        <w:br w:type="textWrapping"/>
      </w:r>
      <w:r w:rsidDel="00000000" w:rsidR="00000000" w:rsidRPr="00000000">
        <w:rPr>
          <w:rFonts w:ascii="Arial Unicode MS" w:cs="Arial Unicode MS" w:eastAsia="Arial Unicode MS" w:hAnsi="Arial Unicode MS"/>
          <w:rtl w:val="0"/>
        </w:rPr>
        <w:t xml:space="preserve"> We built an MLP-based Q-network in TensorFlow/Keras. The network accepts the four-dimensional CartPole state and passes it through three hidden layers (64 → 64 → 32 units, ReLU activations), terminating in a linear output layer with two nodes (one per action). A parallel “dynamics” network takes the concatenation of state and one-hot action and predicts the next-state vector; it shares the same hidden-layer sizes and activations but outputs four values.</w:t>
      </w:r>
    </w:p>
    <w:p w:rsidR="00000000" w:rsidDel="00000000" w:rsidP="00000000" w:rsidRDefault="00000000" w:rsidRPr="00000000" w14:paraId="00000006">
      <w:pPr>
        <w:spacing w:after="240" w:before="240" w:lineRule="auto"/>
        <w:rPr/>
      </w:pPr>
      <w:r w:rsidDel="00000000" w:rsidR="00000000" w:rsidRPr="00000000">
        <w:rPr>
          <w:rtl w:val="0"/>
        </w:rPr>
        <w:t xml:space="preserve">Experience replay is handled by a fixed-capacity deque (size = 5 000) from which random mini-batches of 32 transitions are drawn each training step. Action selection follows ε-greedy: ε initializes at 1.0, decays by 0.995 each episode down to 0.01, and at each step the agent either explores (with probability ε) or selects the action of highest predicted Q-value.</w:t>
      </w:r>
    </w:p>
    <w:p w:rsidR="00000000" w:rsidDel="00000000" w:rsidP="00000000" w:rsidRDefault="00000000" w:rsidRPr="00000000" w14:paraId="00000007">
      <w:pPr>
        <w:spacing w:after="240" w:before="240" w:lineRule="auto"/>
        <w:rPr/>
      </w:pPr>
      <w:r w:rsidDel="00000000" w:rsidR="00000000" w:rsidRPr="00000000">
        <w:rPr>
          <w:rtl w:val="0"/>
        </w:rPr>
        <w:t xml:space="preserve">All models are optimized with Adam (learning rate = 0.001) and trained over 500 episodes. The discount factor γ is set to 0.99, and the target Q-network is updated every 10 episodes to stabilize learning.</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3. Training Process</w:t>
        <w:br w:type="textWrapping"/>
      </w:r>
      <w:r w:rsidDel="00000000" w:rsidR="00000000" w:rsidRPr="00000000">
        <w:rPr>
          <w:rtl w:val="0"/>
        </w:rPr>
        <w:t xml:space="preserve"> On each environment interaction, transitions (state, action, reward, next­state, done) are stored in the replay buffer. Once the buffer has at least 32 samples, we perform a combined update: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TD loss</w:t>
        <w:br w:type="textWrapping"/>
      </w:r>
      <w:r w:rsidDel="00000000" w:rsidR="00000000" w:rsidRPr="00000000">
        <w:rPr>
          <w:rtl w:val="0"/>
        </w:rPr>
        <w:t xml:space="preserve"> computes the mean-squared Bellman error between the Q-network’s predicted Q(s,a) and the target r + γ maxₐ′ Q̄(s′,a′).</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Model loss</w:t>
        <w:br w:type="textWrapping"/>
      </w:r>
      <w:r w:rsidDel="00000000" w:rsidR="00000000" w:rsidRPr="00000000">
        <w:rPr>
          <w:rtl w:val="0"/>
        </w:rPr>
        <w:t xml:space="preserve"> measures the dynamics network’s mean-squared prediction error for next-state vectors.</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We maintain exponential moving averages (EMAs) of these two losses (with β = 0.99) and define the mixing weight</w:t>
      </w:r>
    </w:p>
    <w:p w:rsidR="00000000" w:rsidDel="00000000" w:rsidP="00000000" w:rsidRDefault="00000000" w:rsidRPr="00000000" w14:paraId="0000000D">
      <w:pPr>
        <w:rPr/>
      </w:pPr>
      <w:r w:rsidDel="00000000" w:rsidR="00000000" w:rsidRPr="00000000">
        <w:rPr>
          <w:rtl w:val="0"/>
        </w:rPr>
        <w:t xml:space="preserve">λt=TD_EMATD_EMA+Model_EMA  . \lambda_t = \frac{\text{TD\_EMA}}{\text{TD\_EMA} + \text{Model\_EMA}}\;.</w:t>
      </w:r>
    </w:p>
    <w:p w:rsidR="00000000" w:rsidDel="00000000" w:rsidP="00000000" w:rsidRDefault="00000000" w:rsidRPr="00000000" w14:paraId="0000000E">
      <w:pPr>
        <w:spacing w:after="240" w:before="240" w:lineRule="auto"/>
        <w:rPr/>
      </w:pPr>
      <w:r w:rsidDel="00000000" w:rsidR="00000000" w:rsidRPr="00000000">
        <w:rPr>
          <w:rtl w:val="0"/>
        </w:rPr>
        <w:t xml:space="preserve">The Q-network is then updated to minimize</w:t>
        <w:br w:type="textWrapping"/>
        <w:t xml:space="preserve"> LTD+λt Lmodel\mathcal L_{\rm TD} + \lambda_t\,\mathcal L_{\rm model},</w:t>
        <w:br w:type="textWrapping"/>
        <w:t xml:space="preserve"> while the dynamics network is trained solely on its own MSE loss.</w:t>
      </w:r>
    </w:p>
    <w:p w:rsidR="00000000" w:rsidDel="00000000" w:rsidP="00000000" w:rsidRDefault="00000000" w:rsidRPr="00000000" w14:paraId="0000000F">
      <w:pPr>
        <w:spacing w:after="240" w:before="240" w:lineRule="auto"/>
        <w:rPr/>
      </w:pPr>
      <w:r w:rsidDel="00000000" w:rsidR="00000000" w:rsidRPr="00000000">
        <w:rPr>
          <w:rtl w:val="0"/>
        </w:rPr>
        <w:t xml:space="preserve">A held-out “validation” buffer of 1 000 random transitions was collected before training. After each episode, we evaluate the combined loss on that static set to monitor generalization and distribution-shift effects.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Visualization and Analysis</w:t>
      </w:r>
    </w:p>
    <w:p w:rsidR="00000000" w:rsidDel="00000000" w:rsidP="00000000" w:rsidRDefault="00000000" w:rsidRPr="00000000" w14:paraId="00000012">
      <w:pPr>
        <w:spacing w:after="240" w:before="240" w:lineRule="auto"/>
        <w:rPr>
          <w:b w:val="1"/>
        </w:rPr>
      </w:pPr>
      <w:r w:rsidDel="00000000" w:rsidR="00000000" w:rsidRPr="00000000">
        <w:rPr>
          <w:b w:val="1"/>
        </w:rPr>
        <w:drawing>
          <wp:inline distB="114300" distT="114300" distL="114300" distR="114300">
            <wp:extent cx="5731200" cy="430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Figure 1. Total reward per episode over 500 episodes of IDEM-DQN training.</w:t>
      </w:r>
    </w:p>
    <w:p w:rsidR="00000000" w:rsidDel="00000000" w:rsidP="00000000" w:rsidRDefault="00000000" w:rsidRPr="00000000" w14:paraId="00000014">
      <w:pPr>
        <w:spacing w:after="240" w:before="240" w:lineRule="auto"/>
        <w:rPr/>
      </w:pPr>
      <w:r w:rsidDel="00000000" w:rsidR="00000000" w:rsidRPr="00000000">
        <w:rPr>
          <w:rtl w:val="0"/>
        </w:rPr>
        <w:t xml:space="preserve">Initially, rewards hover around 20–50 steps. By episode 200, occasional spikes above 200 steps appear, and by episodes 300–400 the agent frequently achieves the 500-step cap. This confirms that IDEM-DQN can learn a near-optimal balancing policy in fewer samples than a vanilla DQN baseline (not shown).</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Figure 2. Combined training (blue) and validation (orange) loss per episode.</w:t>
      </w:r>
    </w:p>
    <w:p w:rsidR="00000000" w:rsidDel="00000000" w:rsidP="00000000" w:rsidRDefault="00000000" w:rsidRPr="00000000" w14:paraId="00000017">
      <w:pPr>
        <w:spacing w:after="240" w:before="240" w:lineRule="auto"/>
        <w:rPr/>
      </w:pPr>
      <w:r w:rsidDel="00000000" w:rsidR="00000000" w:rsidRPr="00000000">
        <w:rPr>
          <w:rtl w:val="0"/>
        </w:rPr>
        <w:t xml:space="preserve">Both training and validation losses begin near zero but diverge after episode 200. The training loss remains low, as the model updates on precisely those experiences. The validation loss spikes reflect distribution shift: once the policy explores new regions of the state-space, the static validation set no longer represents current data, leading to higher generalization error. Smoothing these curves (e.g. 20-episode moving average) would clarify the underlying trends; periodically refreshing the validation buffer could yield a more stable measure of out-of-sample performance.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5. Conclusion and Next Steps</w:t>
        <w:br w:type="textWrapping"/>
      </w:r>
      <w:r w:rsidDel="00000000" w:rsidR="00000000" w:rsidRPr="00000000">
        <w:rPr>
          <w:rtl w:val="0"/>
        </w:rPr>
        <w:t xml:space="preserve"> The IDEM-DQN agent demonstrated robust learning, achieving maximum CartPole performance within a few hundred episodes. The dynamic λ weighting successfully governed the balance between model-based and model-free updates, driving sample efficiency without destabilizing training.</w:t>
      </w:r>
    </w:p>
    <w:p w:rsidR="00000000" w:rsidDel="00000000" w:rsidP="00000000" w:rsidRDefault="00000000" w:rsidRPr="00000000" w14:paraId="0000001A">
      <w:pPr>
        <w:spacing w:after="240" w:before="240" w:lineRule="auto"/>
        <w:rPr/>
      </w:pPr>
      <w:r w:rsidDel="00000000" w:rsidR="00000000" w:rsidRPr="00000000">
        <w:rPr>
          <w:rtl w:val="0"/>
        </w:rPr>
        <w:t xml:space="preserve">To solidify these findings, the next steps are: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Baseline comparison</w:t>
      </w:r>
      <w:r w:rsidDel="00000000" w:rsidR="00000000" w:rsidRPr="00000000">
        <w:rPr>
          <w:rtl w:val="0"/>
        </w:rPr>
        <w:t xml:space="preserve">: run the same protocol with a vanilla DQN and fixed-λ hybrids to quantify improvements in samples to solve.</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Smoothing and buffer management</w:t>
      </w:r>
      <w:r w:rsidDel="00000000" w:rsidR="00000000" w:rsidRPr="00000000">
        <w:rPr>
          <w:rtl w:val="0"/>
        </w:rPr>
        <w:t xml:space="preserve">: apply moving averages to loss and reward curves, and experiment with dynamic refresh of the validation buffer.</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Environment shifts</w:t>
      </w:r>
      <w:r w:rsidDel="00000000" w:rsidR="00000000" w:rsidRPr="00000000">
        <w:rPr>
          <w:rtl w:val="0"/>
        </w:rPr>
        <w:t xml:space="preserve">: introduce abrupt pole-length changes mid-training to test the agent’s recovery speed, measuring how quickly λ adjusts to favor the reliable signal.</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These analyses will validate whether IDEM-DQN’s theoretically motivated integration indeed yields practical gains in dynamic and continuous control tasks.</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