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Brain Tumor Classification from MRI Images Using Deep Learning with a Unified Pipeline Approach:</w:t>
      </w:r>
      <w:r>
        <w:br/>
      </w:r>
      <w:r>
        <w:t xml:space="preserve">A Comparative Study of CNN, SVM, and Random Forest</w:t>
      </w:r>
    </w:p>
    <w:p>
      <w:pPr>
        <w:pStyle w:val="Author"/>
      </w:pPr>
    </w:p>
    <w:p>
      <w:pPr>
        <w:pStyle w:val="AbstractTitle"/>
      </w:pPr>
      <w:r>
        <w:t xml:space="preserve">Abstract</w:t>
      </w:r>
    </w:p>
    <w:p>
      <w:pPr>
        <w:pStyle w:val="Abstract"/>
      </w:pPr>
      <w:r>
        <w:t xml:space="preserve">Brain tumor detection and classification from magnetic resonance imaging (MRI) is a critical task in medical diagnostics, where early and accurate identification significantly impacts patient outcomes. This paper presents a unified pipeline for brain tumor classification that integrates image preprocessing, multi-modal feature extraction, and comparative evaluation of three distinct classification approaches: a custom Convolutional Neural Network (BrainTumorCNN), Support Vector Machine (SVM) with RBF kernel, and Random Forest ensemble. The system is evaluated on a dataset of 6,556 MRI images across four classes (glioma, meningioma, brain tumor, and healthy). Our proposed BrainTumorCNN achieves 99.34% test accuracy, outperforming SVM (96.53%) and Random Forest (95.04%) across all evaluation metrics including precision, recall, F1 score, and Intersection over Union (IoU). The complete pipeline incorporates Gaussian denoising, CLAHE contrast enhancement, and ImageNet normalization as preprocessing steps, alongside Histogram of Oriented Gradients (HOG), color histograms, and edge-based features for multi-modal feature extraction. The system is deployed as a web application using Flask and ONNX Runtime, enabling real-time inference with sub-second response times. We also address ethical considerations including data privacy, algorithmic bias, and the consequences of misclassification in medical AI systems. Results demonstrate that the deep learning approach provides superior performance while maintaining computational feasibility for clinical deployment.</w:t>
      </w:r>
    </w:p>
    <w:p>
      <w:pPr>
        <w:pStyle w:val="FirstParagraph"/>
      </w:pPr>
      <w:r>
        <w:t xml:space="preserve">Brain tumor classification, Convolutional Neural Network, deep learning, MRI analysis, image preprocessing, feature extraction, medical image analysis, SVM, Random Forest</w:t>
      </w:r>
    </w:p>
    <w:bookmarkStart w:id="20" w:name="sec:introduction"/>
    <w:p>
      <w:pPr>
        <w:pStyle w:val="Heading1"/>
      </w:pPr>
      <w:r>
        <w:t xml:space="preserve">Introduction</w:t>
      </w:r>
    </w:p>
    <w:p>
      <w:pPr>
        <w:pStyle w:val="FirstParagraph"/>
      </w:pPr>
      <w:r>
        <w:t xml:space="preserve">Brain tumors represent one of the most life-threatening neurological conditions, with the World Health Organization (WHO) reporting approximately 256,000 new cases annually worldwide </w:t>
      </w:r>
      <w:r>
        <w:t xml:space="preserve">. The classification of brain tumors into subtypes—glioma, meningioma, and other variants—is essential for determining appropriate treatment strategies, including surgical intervention, radiation therapy, and chemotherapy </w:t>
      </w:r>
      <w:r>
        <w:t xml:space="preserve">. Magnetic Resonance Imaging (MRI) has become the gold standard for brain tumor visualization due to its superior soft-tissue contrast and non-invasive nature </w:t>
      </w:r>
      <w:r>
        <w:t xml:space="preserve">.</w:t>
      </w:r>
    </w:p>
    <w:p>
      <w:pPr>
        <w:pStyle w:val="BodyText"/>
      </w:pPr>
      <w:r>
        <w:t xml:space="preserve">Traditional diagnosis relies on expert neuroradiologists manually analyzing MRI scans, a process that is time-consuming, subjective, and susceptible to inter-observer variability </w:t>
      </w:r>
      <w:r>
        <w:t xml:space="preserve">. With the increasing volume of medical imaging data, there is an urgent need for automated, reliable, and efficient computer-aided diagnosis (CAD) systems </w:t>
      </w:r>
      <w:r>
        <w:t xml:space="preserve">.</w:t>
      </w:r>
    </w:p>
    <w:p>
      <w:pPr>
        <w:pStyle w:val="BodyText"/>
      </w:pPr>
      <w:r>
        <w:t xml:space="preserve">Deep learning, particularly Convolutional Neural Networks (CNNs), has demonstrated remarkable success in medical image classification tasks </w:t>
      </w:r>
      <w:r>
        <w:t xml:space="preserve">. However, the deployment of such systems in clinical settings requires addressing multiple challenges: (1) the need for robust preprocessing to handle variations in MRI acquisition protocols, (2) the selection of appropriate feature extraction methods, (3) the balance between model complexity and computational feasibility, and (4) rigorous evaluation using established metrics </w:t>
      </w:r>
      <w:r>
        <w:t xml:space="preserve">.</w:t>
      </w:r>
    </w:p>
    <w:p>
      <w:pPr>
        <w:pStyle w:val="BodyText"/>
      </w:pPr>
      <w:r>
        <w:t xml:space="preserve">This paper makes the following contributions:</w:t>
      </w:r>
    </w:p>
    <w:p>
      <w:pPr>
        <w:numPr>
          <w:ilvl w:val="0"/>
          <w:numId w:val="1001"/>
        </w:numPr>
      </w:pPr>
      <w:r>
        <w:t xml:space="preserve">A unified end-to-end pipeline integrating preprocessing, feature extraction, model training, and evaluation for brain tumor MRI classification.</w:t>
      </w:r>
    </w:p>
    <w:p>
      <w:pPr>
        <w:numPr>
          <w:ilvl w:val="0"/>
          <w:numId w:val="1001"/>
        </w:numPr>
      </w:pPr>
      <w:r>
        <w:t xml:space="preserve">A custom CNN architecture (BrainTumorCNN) achieving 99.34% accuracy on a 4-class brain tumor dataset.</w:t>
      </w:r>
    </w:p>
    <w:p>
      <w:pPr>
        <w:numPr>
          <w:ilvl w:val="0"/>
          <w:numId w:val="1001"/>
        </w:numPr>
      </w:pPr>
      <w:r>
        <w:t xml:space="preserve">A comprehensive comparative analysis of CNN, SVM, and Random Forest classifiers using five evaluation metrics.</w:t>
      </w:r>
    </w:p>
    <w:p>
      <w:pPr>
        <w:numPr>
          <w:ilvl w:val="0"/>
          <w:numId w:val="1001"/>
        </w:numPr>
      </w:pPr>
      <w:r>
        <w:t xml:space="preserve">Multi-modal feature extraction combining deep learning features (ResNet18) with handcrafted features (HOG, color histograms, edge features).</w:t>
      </w:r>
    </w:p>
    <w:p>
      <w:pPr>
        <w:numPr>
          <w:ilvl w:val="0"/>
          <w:numId w:val="1001"/>
        </w:numPr>
      </w:pPr>
      <w:r>
        <w:t xml:space="preserve">Ethical framework addressing data privacy, algorithmic bias, and clinical deployment considerations.</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methodology">
        <w:r>
          <w:rPr>
            <w:rStyle w:val="Hyperlink"/>
          </w:rPr>
          <w:t xml:space="preserve">3</w:t>
        </w:r>
      </w:hyperlink>
      <w:r>
        <w:t xml:space="preserve"> </w:t>
      </w:r>
      <w:r>
        <w:t xml:space="preserve">describes the proposed methodology, Section </w:t>
      </w:r>
      <w:hyperlink w:anchor="sec:experiments">
        <w:r>
          <w:rPr>
            <w:rStyle w:val="Hyperlink"/>
          </w:rPr>
          <w:t xml:space="preserve">4</w:t>
        </w:r>
      </w:hyperlink>
      <w:r>
        <w:t xml:space="preserve"> </w:t>
      </w:r>
      <w:r>
        <w:t xml:space="preserve">presents experimental results, Section </w:t>
      </w:r>
      <w:hyperlink w:anchor="sec:evaluation">
        <w:r>
          <w:rPr>
            <w:rStyle w:val="Hyperlink"/>
          </w:rPr>
          <w:t xml:space="preserve">5</w:t>
        </w:r>
      </w:hyperlink>
      <w:r>
        <w:t xml:space="preserve"> </w:t>
      </w:r>
      <w:r>
        <w:t xml:space="preserve">provides detailed evaluation and analysis, Section </w:t>
      </w:r>
      <w:hyperlink w:anchor="sec:ethics">
        <w:r>
          <w:rPr>
            <w:rStyle w:val="Hyperlink"/>
          </w:rPr>
          <w:t xml:space="preserve">6</w:t>
        </w:r>
      </w:hyperlink>
      <w:r>
        <w:t xml:space="preserve"> </w:t>
      </w:r>
      <w:r>
        <w:t xml:space="preserve">discusses ethical considerations, and Section </w:t>
      </w:r>
      <w:hyperlink w:anchor="sec:conclusion">
        <w:r>
          <w:rPr>
            <w:rStyle w:val="Hyperlink"/>
          </w:rPr>
          <w:t xml:space="preserve">7</w:t>
        </w:r>
      </w:hyperlink>
      <w:r>
        <w:t xml:space="preserve"> </w:t>
      </w:r>
      <w:r>
        <w:t xml:space="preserve">concludes the paper.</w:t>
      </w:r>
    </w:p>
    <w:bookmarkEnd w:id="20"/>
    <w:bookmarkStart w:id="26" w:name="sec:related"/>
    <w:p>
      <w:pPr>
        <w:pStyle w:val="Heading1"/>
      </w:pPr>
      <w:r>
        <w:t xml:space="preserve">Literature Review</w:t>
      </w:r>
    </w:p>
    <w:bookmarkStart w:id="21" w:name="traditional-machine-learning-approaches"/>
    <w:p>
      <w:pPr>
        <w:pStyle w:val="Heading2"/>
      </w:pPr>
      <w:r>
        <w:t xml:space="preserve">Traditional Machine Learning Approaches</w:t>
      </w:r>
    </w:p>
    <w:p>
      <w:pPr>
        <w:pStyle w:val="FirstParagraph"/>
      </w:pPr>
      <w:r>
        <w:t xml:space="preserve">Early approaches to brain tumor classification relied on traditional machine learning techniques with handcrafted features. Zaki et al. </w:t>
      </w:r>
      <w:r>
        <w:t xml:space="preserve"> </w:t>
      </w:r>
      <w:r>
        <w:t xml:space="preserve">proposed a system combining GLCM (Gray-Level Co-occurrence Matrix) texture features with SVM classification, achieving 94.5% accuracy on a binary tumor detection task. Similarly, Mohan and Subashini </w:t>
      </w:r>
      <w:r>
        <w:t xml:space="preserve"> </w:t>
      </w:r>
      <w:r>
        <w:t xml:space="preserve">utilized a combination of discrete wavelet transform (DWT) and GLCM features with Random Forest, reporting 93.2% accuracy on a 3-class brain tumor dataset.</w:t>
      </w:r>
    </w:p>
    <w:bookmarkEnd w:id="21"/>
    <w:bookmarkStart w:id="22" w:name="deep-learning-approaches"/>
    <w:p>
      <w:pPr>
        <w:pStyle w:val="Heading2"/>
      </w:pPr>
      <w:r>
        <w:t xml:space="preserve">Deep Learning Approaches</w:t>
      </w:r>
    </w:p>
    <w:p>
      <w:pPr>
        <w:pStyle w:val="FirstParagraph"/>
      </w:pPr>
      <w:r>
        <w:t xml:space="preserve">The advent of deep learning revolutionized medical image analysis. Hossain et al. </w:t>
      </w:r>
      <w:r>
        <w:t xml:space="preserve"> </w:t>
      </w:r>
      <w:r>
        <w:t xml:space="preserve">implemented a VGG-16 transfer learning approach for brain tumor classification, achieving 97.6% accuracy on a dataset of 3,064 images. Rehman et al. </w:t>
      </w:r>
      <w:r>
        <w:t xml:space="preserve"> </w:t>
      </w:r>
      <w:r>
        <w:t xml:space="preserve">proposed a ResNet-50 based system with attention mechanisms, reporting 98.1% accuracy on a 4-class classification task.</w:t>
      </w:r>
    </w:p>
    <w:p>
      <w:pPr>
        <w:pStyle w:val="BodyText"/>
      </w:pPr>
      <w:r>
        <w:t xml:space="preserve">Akkus et al. </w:t>
      </w:r>
      <w:r>
        <w:t xml:space="preserve"> </w:t>
      </w:r>
      <w:r>
        <w:t xml:space="preserve">conducted a comprehensive survey of deep learning methods for brain tumor classification, finding that CNN-based approaches consistently outperformed traditional methods by 5-10% in accuracy. The authors noted that the choice of preprocessing and data augmentation significantly impacts model performance.</w:t>
      </w:r>
    </w:p>
    <w:p>
      <w:pPr>
        <w:pStyle w:val="BodyText"/>
      </w:pPr>
      <w:r>
        <w:t xml:space="preserve">Das et al. </w:t>
      </w:r>
      <w:r>
        <w:t xml:space="preserve"> </w:t>
      </w:r>
      <w:r>
        <w:t xml:space="preserve">presented a lightweight CNN architecture specifically designed for brain tumor classification, achieving 97.8% accuracy with significantly reduced computational requirements compared to deep architectures like ResNet-152.</w:t>
      </w:r>
    </w:p>
    <w:bookmarkEnd w:id="22"/>
    <w:bookmarkStart w:id="23" w:name="hybrid-and-ensemble-methods"/>
    <w:p>
      <w:pPr>
        <w:pStyle w:val="Heading2"/>
      </w:pPr>
      <w:r>
        <w:t xml:space="preserve">Hybrid and Ensemble Methods</w:t>
      </w:r>
    </w:p>
    <w:p>
      <w:pPr>
        <w:pStyle w:val="FirstParagraph"/>
      </w:pPr>
      <w:r>
        <w:t xml:space="preserve">Recognizing the complementary strengths of different approaches, several researchers have proposed hybrid methods. Baddev et al. </w:t>
      </w:r>
      <w:r>
        <w:t xml:space="preserve"> </w:t>
      </w:r>
      <w:r>
        <w:t xml:space="preserve">combined CNN features with SVM classification, achieving 98.3% accuracy by leveraging the feature extraction capability of CNNs with the robust decision boundary of SVMs. Tufail et al. </w:t>
      </w:r>
      <w:r>
        <w:t xml:space="preserve"> </w:t>
      </w:r>
      <w:r>
        <w:t xml:space="preserve">proposed an ensemble of CNN, SVM, and Random Forest classifiers using weighted voting, reporting 98.7% accuracy on a multi-class brain tumor dataset.</w:t>
      </w:r>
    </w:p>
    <w:bookmarkEnd w:id="23"/>
    <w:bookmarkStart w:id="24" w:name="preprocessing-and-feature-engineering"/>
    <w:p>
      <w:pPr>
        <w:pStyle w:val="Heading2"/>
      </w:pPr>
      <w:r>
        <w:t xml:space="preserve">Preprocessing and Feature Engineering</w:t>
      </w:r>
    </w:p>
    <w:p>
      <w:pPr>
        <w:pStyle w:val="FirstParagraph"/>
      </w:pPr>
      <w:r>
        <w:t xml:space="preserve">Preprocessing plays a critical role in medical image analysis. Isin et al. </w:t>
      </w:r>
      <w:r>
        <w:t xml:space="preserve"> </w:t>
      </w:r>
      <w:r>
        <w:t xml:space="preserve">demonstrated that CLAHE (Contrast Limited Adaptive Histogram Equalization) preprocessing improves brain tumor classification accuracy by 2-3% compared to raw images. Singh et al. </w:t>
      </w:r>
      <w:r>
        <w:t xml:space="preserve"> </w:t>
      </w:r>
      <w:r>
        <w:t xml:space="preserve">showed that Gaussian denoising combined with normalization reduces classification variance across different MRI scanners.</w:t>
      </w:r>
    </w:p>
    <w:bookmarkEnd w:id="24"/>
    <w:bookmarkStart w:id="25" w:name="research-gap"/>
    <w:p>
      <w:pPr>
        <w:pStyle w:val="Heading2"/>
      </w:pPr>
      <w:r>
        <w:t xml:space="preserve">Research Gap</w:t>
      </w:r>
    </w:p>
    <w:p>
      <w:pPr>
        <w:pStyle w:val="FirstParagraph"/>
      </w:pPr>
      <w:r>
        <w:t xml:space="preserve">While existing literature demonstrates the effectiveness of individual approaches, few studies provide a unified framework that integrates preprocessing, multi-modal feature extraction, and comparative evaluation of multiple classifiers within a single pipeline. Furthermore, ethical considerations such as algorithmic bias and data privacy are often overlooked in technical publications. This paper addresses these gaps by presenting a comprehensive pipeline with thorough ethical analysis.</w:t>
      </w:r>
    </w:p>
    <w:bookmarkEnd w:id="25"/>
    <w:bookmarkEnd w:id="26"/>
    <w:bookmarkStart w:id="35" w:name="sec:methodology"/>
    <w:p>
      <w:pPr>
        <w:pStyle w:val="Heading1"/>
      </w:pPr>
      <w:r>
        <w:t xml:space="preserve">Methodology</w:t>
      </w:r>
    </w:p>
    <w:p>
      <w:pPr>
        <w:pStyle w:val="FirstParagraph"/>
      </w:pPr>
      <w:r>
        <w:t xml:space="preserve">The proposed system follows a six-stage unified pipeline, as illustrated in Fig. </w:t>
      </w:r>
      <w:hyperlink w:anchor="fig:pipeline">
        <w:r>
          <w:rPr>
            <w:rStyle w:val="Hyperlink"/>
          </w:rPr>
          <w:t xml:space="preserve">[fig:pipeline]</w:t>
        </w:r>
      </w:hyperlink>
      <w:r>
        <w:t xml:space="preserve">.</w:t>
      </w:r>
    </w:p>
    <w:bookmarkStart w:id="28" w:name="subsec:dataset"/>
    <w:p>
      <w:pPr>
        <w:pStyle w:val="Heading2"/>
      </w:pPr>
      <w:r>
        <w:t xml:space="preserve">Dataset</w:t>
      </w:r>
    </w:p>
    <w:p>
      <w:pPr>
        <w:pStyle w:val="FirstParagraph"/>
      </w:pPr>
      <w:r>
        <w:t xml:space="preserve">The experiments are conducted on a brain tumor MRI dataset comprising 6,556 images across four classes:</w:t>
      </w:r>
    </w:p>
    <w:bookmarkStart w:id="27" w:name="tab:dataset"/>
    <w:p>
      <w:pPr>
        <w:pStyle w:val="TableCaption"/>
      </w:pPr>
      <w:r>
        <w:t xml:space="preserve">Dataset Distribution</w:t>
      </w:r>
    </w:p>
    <w:tbl>
      <w:tblPr>
        <w:tblStyle w:val="Table"/>
        <w:tblW w:type="auto" w:w="0"/>
        <w:tblLook w:firstRow="1" w:lastRow="0" w:firstColumn="0" w:lastColumn="0" w:noHBand="0" w:noVBand="0" w:val="0020"/>
        <w:tblCaption w:val="Dataset Distribution"/>
      </w:tblPr>
      <w:tblGrid>
        <w:gridCol w:w="2640"/>
        <w:gridCol w:w="2640"/>
        <w:gridCol w:w="2640"/>
      </w:tblGrid>
      <w:tr>
        <w:trPr>
          <w:tblHeader w:val="on"/>
        </w:trPr>
        <w:tc>
          <w:tcPr/>
          <w:p>
            <w:pPr>
              <w:pStyle w:val="Compact"/>
              <w:jc w:val="left"/>
            </w:pPr>
            <w:r>
              <w:rPr>
                <w:b/>
                <w:bCs/>
              </w:rPr>
              <w:t xml:space="preserve">Class</w:t>
            </w:r>
          </w:p>
        </w:tc>
        <w:tc>
          <w:tcPr/>
          <w:p>
            <w:pPr>
              <w:pStyle w:val="Compact"/>
              <w:jc w:val="center"/>
            </w:pPr>
            <w:r>
              <w:rPr>
                <w:b/>
                <w:bCs/>
              </w:rPr>
              <w:t xml:space="preserve">Count</w:t>
            </w:r>
          </w:p>
        </w:tc>
        <w:tc>
          <w:tcPr/>
          <w:p>
            <w:pPr>
              <w:pStyle w:val="Compact"/>
              <w:jc w:val="center"/>
            </w:pPr>
            <w:r>
              <w:rPr>
                <w:b/>
                <w:bCs/>
              </w:rPr>
              <w:t xml:space="preserve">Percentage</w:t>
            </w:r>
          </w:p>
        </w:tc>
      </w:tr>
      <w:tr>
        <w:tc>
          <w:tcPr/>
          <w:p>
            <w:pPr>
              <w:pStyle w:val="Compact"/>
              <w:jc w:val="left"/>
            </w:pPr>
            <w:r>
              <w:t xml:space="preserve">Glioma</w:t>
            </w:r>
          </w:p>
        </w:tc>
        <w:tc>
          <w:tcPr/>
          <w:p>
            <w:pPr>
              <w:pStyle w:val="Compact"/>
              <w:jc w:val="center"/>
            </w:pPr>
            <w:r>
              <w:t xml:space="preserve">2,004</w:t>
            </w:r>
          </w:p>
        </w:tc>
        <w:tc>
          <w:tcPr/>
          <w:p>
            <w:pPr>
              <w:pStyle w:val="Compact"/>
              <w:jc w:val="center"/>
            </w:pPr>
            <w:r>
              <w:t xml:space="preserve">30.6%</w:t>
            </w:r>
          </w:p>
        </w:tc>
      </w:tr>
      <w:tr>
        <w:tc>
          <w:tcPr/>
          <w:p>
            <w:pPr>
              <w:pStyle w:val="Compact"/>
              <w:jc w:val="left"/>
            </w:pPr>
            <w:r>
              <w:t xml:space="preserve">Meningioma</w:t>
            </w:r>
          </w:p>
        </w:tc>
        <w:tc>
          <w:tcPr/>
          <w:p>
            <w:pPr>
              <w:pStyle w:val="Compact"/>
              <w:jc w:val="center"/>
            </w:pPr>
            <w:r>
              <w:t xml:space="preserve">2,004</w:t>
            </w:r>
          </w:p>
        </w:tc>
        <w:tc>
          <w:tcPr/>
          <w:p>
            <w:pPr>
              <w:pStyle w:val="Compact"/>
              <w:jc w:val="center"/>
            </w:pPr>
            <w:r>
              <w:t xml:space="preserve">30.6%</w:t>
            </w:r>
          </w:p>
        </w:tc>
      </w:tr>
      <w:tr>
        <w:tc>
          <w:tcPr/>
          <w:p>
            <w:pPr>
              <w:pStyle w:val="Compact"/>
              <w:jc w:val="left"/>
            </w:pPr>
            <w:r>
              <w:t xml:space="preserve">Brain Tumor</w:t>
            </w:r>
          </w:p>
        </w:tc>
        <w:tc>
          <w:tcPr/>
          <w:p>
            <w:pPr>
              <w:pStyle w:val="Compact"/>
              <w:jc w:val="center"/>
            </w:pPr>
            <w:r>
              <w:t xml:space="preserve">2,048</w:t>
            </w:r>
          </w:p>
        </w:tc>
        <w:tc>
          <w:tcPr/>
          <w:p>
            <w:pPr>
              <w:pStyle w:val="Compact"/>
              <w:jc w:val="center"/>
            </w:pPr>
            <w:r>
              <w:t xml:space="preserve">31.2%</w:t>
            </w:r>
          </w:p>
        </w:tc>
      </w:tr>
      <w:tr>
        <w:tc>
          <w:tcPr/>
          <w:p>
            <w:pPr>
              <w:pStyle w:val="Compact"/>
              <w:jc w:val="left"/>
            </w:pPr>
            <w:r>
              <w:t xml:space="preserve">Healthy</w:t>
            </w:r>
          </w:p>
        </w:tc>
        <w:tc>
          <w:tcPr/>
          <w:p>
            <w:pPr>
              <w:pStyle w:val="Compact"/>
              <w:jc w:val="center"/>
            </w:pPr>
            <w:r>
              <w:t xml:space="preserve">500</w:t>
            </w:r>
          </w:p>
        </w:tc>
        <w:tc>
          <w:tcPr/>
          <w:p>
            <w:pPr>
              <w:pStyle w:val="Compact"/>
              <w:jc w:val="center"/>
            </w:pPr>
            <w:r>
              <w:t xml:space="preserve">7.6%</w:t>
            </w:r>
          </w:p>
        </w:tc>
      </w:tr>
      <w:tr>
        <w:tc>
          <w:tcPr/>
          <w:p>
            <w:pPr>
              <w:pStyle w:val="Compact"/>
              <w:jc w:val="left"/>
            </w:pPr>
            <w:r>
              <w:rPr>
                <w:b/>
                <w:bCs/>
              </w:rPr>
              <w:t xml:space="preserve">Total</w:t>
            </w:r>
          </w:p>
        </w:tc>
        <w:tc>
          <w:tcPr/>
          <w:p>
            <w:pPr>
              <w:pStyle w:val="Compact"/>
              <w:jc w:val="center"/>
            </w:pPr>
            <w:r>
              <w:rPr>
                <w:b/>
                <w:bCs/>
              </w:rPr>
              <w:t xml:space="preserve">6,556</w:t>
            </w:r>
          </w:p>
        </w:tc>
        <w:tc>
          <w:tcPr/>
          <w:p>
            <w:pPr>
              <w:pStyle w:val="Compact"/>
              <w:jc w:val="center"/>
            </w:pPr>
            <w:r>
              <w:rPr>
                <w:b/>
                <w:bCs/>
              </w:rPr>
              <w:t xml:space="preserve">100%</w:t>
            </w:r>
          </w:p>
        </w:tc>
      </w:tr>
    </w:tbl>
    <w:bookmarkEnd w:id="27"/>
    <w:p>
      <w:pPr>
        <w:pStyle w:val="BodyText"/>
      </w:pPr>
      <w:r>
        <w:t xml:space="preserve">The dataset exhibits significant class imbalance, with the healthy class being underrepresented (7.6% vs.</w:t>
      </w:r>
      <w:r>
        <w:t xml:space="preserve"> </w:t>
      </w:r>
      <m:oMath>
        <m:r>
          <m:rPr>
            <m:sty m:val="p"/>
          </m:rPr>
          <m:t>∼</m:t>
        </m:r>
      </m:oMath>
      <w:r>
        <w:t xml:space="preserve">30.6% for tumor classes). This imbalance is addressed through stratified train/test splitting and is discussed as a potential source of bias in Section </w:t>
      </w:r>
      <w:hyperlink w:anchor="sec:ethics">
        <w:r>
          <w:rPr>
            <w:rStyle w:val="Hyperlink"/>
          </w:rPr>
          <w:t xml:space="preserve">6</w:t>
        </w:r>
      </w:hyperlink>
      <w:r>
        <w:t xml:space="preserve">.</w:t>
      </w:r>
    </w:p>
    <w:bookmarkEnd w:id="28"/>
    <w:bookmarkStart w:id="29" w:name="subsec:preprocessing"/>
    <w:p>
      <w:pPr>
        <w:pStyle w:val="Heading2"/>
      </w:pPr>
      <w:r>
        <w:t xml:space="preserve">Stage 1: Image Preprocessing</w:t>
      </w:r>
    </w:p>
    <w:p>
      <w:pPr>
        <w:pStyle w:val="FirstParagraph"/>
      </w:pPr>
      <w:r>
        <w:t xml:space="preserve">Raw MRI images undergo a multi-step preprocessing pipeline to normalize variations and enhance relevant features:</w:t>
      </w:r>
    </w:p>
    <w:p>
      <w:pPr>
        <w:numPr>
          <w:ilvl w:val="0"/>
          <w:numId w:val="1002"/>
        </w:numPr>
      </w:pPr>
      <w:r>
        <w:rPr>
          <w:b/>
          <w:bCs/>
        </w:rPr>
        <w:t xml:space="preserve">Resize</w:t>
      </w:r>
      <w:r>
        <w:t xml:space="preserve">: All images are resized to</w:t>
      </w:r>
      <w:r>
        <w:t xml:space="preserve"> </w:t>
      </w:r>
      <m:oMath>
        <m:r>
          <m:t>224</m:t>
        </m:r>
        <m:r>
          <m:rPr>
            <m:sty m:val="p"/>
          </m:rPr>
          <m:t>×</m:t>
        </m:r>
        <m:r>
          <m:t>224</m:t>
        </m:r>
        <m:r>
          <m:rPr>
            <m:sty m:val="p"/>
          </m:rPr>
          <m:t>×</m:t>
        </m:r>
        <m:r>
          <m:t>3</m:t>
        </m:r>
      </m:oMath>
      <w:r>
        <w:t xml:space="preserve"> </w:t>
      </w:r>
      <w:r>
        <w:t xml:space="preserve">to maintain consistent input dimensions.</w:t>
      </w:r>
    </w:p>
    <w:p>
      <w:pPr>
        <w:numPr>
          <w:ilvl w:val="0"/>
          <w:numId w:val="1002"/>
        </w:numPr>
      </w:pPr>
      <w:r>
        <w:rPr>
          <w:b/>
          <w:bCs/>
        </w:rPr>
        <w:t xml:space="preserve">Gaussian Denoising</w:t>
      </w:r>
      <w:r>
        <w:t xml:space="preserve">: A</w:t>
      </w:r>
      <w:r>
        <w:t xml:space="preserve"> </w:t>
      </w:r>
      <m:oMath>
        <m:r>
          <m:t>3</m:t>
        </m:r>
        <m:r>
          <m:rPr>
            <m:sty m:val="p"/>
          </m:rPr>
          <m:t>×</m:t>
        </m:r>
        <m:r>
          <m:t>3</m:t>
        </m:r>
      </m:oMath>
      <w:r>
        <w:t xml:space="preserve"> </w:t>
      </w:r>
      <w:r>
        <w:t xml:space="preserve">Gaussian kernel (</w:t>
      </w:r>
      <m:oMath>
        <m:r>
          <m:t>σ</m:t>
        </m:r>
        <m:r>
          <m:rPr>
            <m:sty m:val="p"/>
          </m:rPr>
          <m:t>=</m:t>
        </m:r>
        <m:r>
          <m:t>0</m:t>
        </m:r>
      </m:oMath>
      <w:r>
        <w:t xml:space="preserve">) is applied to reduce salt-and-pepper noise inherent in MRI acquisition.</w:t>
      </w:r>
    </w:p>
    <w:p>
      <w:pPr>
        <w:numPr>
          <w:ilvl w:val="0"/>
          <w:numId w:val="1002"/>
        </w:numPr>
      </w:pPr>
      <w:r>
        <w:rPr>
          <w:b/>
          <w:bCs/>
        </w:rPr>
        <w:t xml:space="preserve">CLAHE Enhancement</w:t>
      </w:r>
      <w:r>
        <w:t xml:space="preserve">: Contrast Limited Adaptive Histogram Equalization is applied in the LAB color space (clip limit = 2.0, tile grid =</w:t>
      </w:r>
      <w:r>
        <w:t xml:space="preserve"> </w:t>
      </w:r>
      <m:oMath>
        <m:r>
          <m:t>8</m:t>
        </m:r>
        <m:r>
          <m:rPr>
            <m:sty m:val="p"/>
          </m:rPr>
          <m:t>×</m:t>
        </m:r>
        <m:r>
          <m:t>8</m:t>
        </m:r>
      </m:oMath>
      <w:r>
        <w:t xml:space="preserve">) to enhance local contrast while preventing over-amplification.</w:t>
      </w:r>
    </w:p>
    <w:p>
      <w:pPr>
        <w:numPr>
          <w:ilvl w:val="0"/>
          <w:numId w:val="1002"/>
        </w:numPr>
      </w:pPr>
      <w:r>
        <w:rPr>
          <w:b/>
          <w:bCs/>
        </w:rPr>
        <w:t xml:space="preserve">Normalization</w:t>
      </w:r>
      <w:r>
        <w:t xml:space="preserve">: Pixel values are scaled to</w:t>
      </w:r>
      <w:r>
        <w:t xml:space="preserve"> </w:t>
      </w:r>
      <m:oMath>
        <m:d>
          <m:dPr>
            <m:begChr m:val="["/>
            <m:sepChr m:val=""/>
            <m:endChr m:val="]"/>
            <m:grow/>
          </m:dPr>
          <m:e>
            <m:r>
              <m:t>0</m:t>
            </m:r>
            <m:r>
              <m:rPr>
                <m:sty m:val="p"/>
              </m:rPr>
              <m:t>,</m:t>
            </m:r>
            <m:r>
              <m:t>1</m:t>
            </m:r>
          </m:e>
        </m:d>
      </m:oMath>
      <w:r>
        <w:t xml:space="preserve"> </w:t>
      </w:r>
      <w:r>
        <w:t xml:space="preserve">and then normalized using ImageNet statistics:</w:t>
      </w:r>
      <w:r>
        <w:t xml:space="preserve"> </w:t>
      </w:r>
      <m:oMath>
        <m:r>
          <m:t>μ</m:t>
        </m:r>
        <m:r>
          <m:rPr>
            <m:sty m:val="p"/>
          </m:rPr>
          <m:t>=</m:t>
        </m:r>
        <m:d>
          <m:dPr>
            <m:begChr m:val="["/>
            <m:sepChr m:val=""/>
            <m:endChr m:val="]"/>
            <m:grow/>
          </m:dPr>
          <m:e>
            <m:r>
              <m:t>0.485</m:t>
            </m:r>
            <m:r>
              <m:rPr>
                <m:sty m:val="p"/>
              </m:rPr>
              <m:t>,</m:t>
            </m:r>
            <m:r>
              <m:t>0.456</m:t>
            </m:r>
            <m:r>
              <m:rPr>
                <m:sty m:val="p"/>
              </m:rPr>
              <m:t>,</m:t>
            </m:r>
            <m:r>
              <m:t>0.406</m:t>
            </m:r>
          </m:e>
        </m:d>
      </m:oMath>
      <w:r>
        <w:t xml:space="preserve">,</w:t>
      </w:r>
      <w:r>
        <w:t xml:space="preserve"> </w:t>
      </w:r>
      <m:oMath>
        <m:r>
          <m:t>σ</m:t>
        </m:r>
        <m:r>
          <m:rPr>
            <m:sty m:val="p"/>
          </m:rPr>
          <m:t>=</m:t>
        </m:r>
        <m:d>
          <m:dPr>
            <m:begChr m:val="["/>
            <m:sepChr m:val=""/>
            <m:endChr m:val="]"/>
            <m:grow/>
          </m:dPr>
          <m:e>
            <m:r>
              <m:t>0.229</m:t>
            </m:r>
            <m:r>
              <m:rPr>
                <m:sty m:val="p"/>
              </m:rPr>
              <m:t>,</m:t>
            </m:r>
            <m:r>
              <m:t>0.224</m:t>
            </m:r>
            <m:r>
              <m:rPr>
                <m:sty m:val="p"/>
              </m:rPr>
              <m:t>,</m:t>
            </m:r>
            <m:r>
              <m:t>0.225</m:t>
            </m:r>
          </m:e>
        </m:d>
      </m:oMath>
      <w:r>
        <w:t xml:space="preserve">.</w:t>
      </w:r>
    </w:p>
    <w:p>
      <w:pPr>
        <w:numPr>
          <w:ilvl w:val="0"/>
          <w:numId w:val="1002"/>
        </w:numPr>
      </w:pPr>
      <w:r>
        <w:rPr>
          <w:b/>
          <w:bCs/>
        </w:rPr>
        <w:t xml:space="preserve">Data Augmentation</w:t>
      </w:r>
      <w:r>
        <w:t xml:space="preserve"> </w:t>
      </w:r>
      <w:r>
        <w:t xml:space="preserve">(training only): Random horizontal flips and rotations (</w:t>
      </w:r>
      <m:oMath>
        <m:r>
          <m:rPr>
            <m:sty m:val="p"/>
          </m:rPr>
          <m:t>±</m:t>
        </m:r>
        <m:r>
          <m:t>15</m:t>
        </m:r>
        <m:r>
          <m:rPr>
            <m:sty m:val="p"/>
          </m:rPr>
          <m:t>°</m:t>
        </m:r>
      </m:oMath>
      <w:r>
        <w:t xml:space="preserve">) are applied to improve generalization.</w:t>
      </w:r>
    </w:p>
    <w:p>
      <w:pPr>
        <w:pStyle w:val="FirstParagraph"/>
      </w:pPr>
      <w:r>
        <w:t xml:space="preserve">The preprocessing transforms are formalized as:</w:t>
      </w:r>
    </w:p>
    <w:p>
      <w:pPr>
        <w:pStyle w:val="BodyText"/>
      </w:pPr>
      <m:oMathPara>
        <m:oMathParaPr>
          <m:jc m:val="center"/>
        </m:oMathParaPr>
        <m:oMath>
          <m:sSub>
            <m:e>
              <m:r>
                <m:t>I</m:t>
              </m:r>
            </m:e>
            <m:sub>
              <m:r>
                <m:rPr>
                  <m:nor/>
                  <m:sty m:val="p"/>
                </m:rPr>
                <m:t>processed</m:t>
              </m:r>
            </m:sub>
          </m:sSub>
          <m:r>
            <m:rPr>
              <m:sty m:val="p"/>
            </m:rPr>
            <m:t>=</m:t>
          </m:r>
          <m:f>
            <m:fPr>
              <m:type m:val="bar"/>
            </m:fPr>
            <m:num>
              <m:r>
                <m:rPr>
                  <m:nor/>
                  <m:sty m:val="p"/>
                </m:rPr>
                <m:t>CLAHE</m:t>
              </m:r>
              <m:d>
                <m:dPr>
                  <m:begChr m:val="("/>
                  <m:sepChr m:val=""/>
                  <m:endChr m:val=")"/>
                  <m:grow/>
                </m:dPr>
                <m:e>
                  <m:r>
                    <m:rPr>
                      <m:nor/>
                      <m:sty m:val="p"/>
                    </m:rPr>
                    <m:t>Gaussian</m:t>
                  </m:r>
                  <m:d>
                    <m:dPr>
                      <m:begChr m:val="("/>
                      <m:sepChr m:val=""/>
                      <m:endChr m:val=")"/>
                      <m:grow/>
                    </m:dPr>
                    <m:e>
                      <m:sSub>
                        <m:e>
                          <m:r>
                            <m:t>I</m:t>
                          </m:r>
                        </m:e>
                        <m:sub>
                          <m:r>
                            <m:rPr>
                              <m:nor/>
                              <m:sty m:val="p"/>
                            </m:rPr>
                            <m:t>resize</m:t>
                          </m:r>
                        </m:sub>
                      </m:sSub>
                    </m:e>
                  </m:d>
                </m:e>
              </m:d>
              <m:r>
                <m:rPr>
                  <m:sty m:val="p"/>
                </m:rPr>
                <m:t>−</m:t>
              </m:r>
              <m:r>
                <m:t>μ</m:t>
              </m:r>
            </m:num>
            <m:den>
              <m:r>
                <m:t>σ</m:t>
              </m:r>
            </m:den>
          </m:f>
        </m:oMath>
      </m:oMathPara>
    </w:p>
    <w:bookmarkEnd w:id="29"/>
    <w:bookmarkStart w:id="30" w:name="subsec:features"/>
    <w:p>
      <w:pPr>
        <w:pStyle w:val="Heading2"/>
      </w:pPr>
      <w:r>
        <w:t xml:space="preserve">Stage 2: Feature Extraction</w:t>
      </w:r>
    </w:p>
    <w:p>
      <w:pPr>
        <w:pStyle w:val="FirstParagraph"/>
      </w:pPr>
      <w:r>
        <w:t xml:space="preserve">Four categories of features are extracted to capture complementary information:</w:t>
      </w:r>
    </w:p>
    <w:p>
      <w:pPr>
        <w:numPr>
          <w:ilvl w:val="0"/>
          <w:numId w:val="1003"/>
        </w:numPr>
      </w:pPr>
      <w:r>
        <w:rPr>
          <w:b/>
          <w:bCs/>
        </w:rPr>
        <w:t xml:space="preserve">CNN Features</w:t>
      </w:r>
      <w:r>
        <w:t xml:space="preserve">: A pre-trained ResNet18 model (with the final fully-connected layer removed) extracts 512-dimensional deep feature vectors.</w:t>
      </w:r>
    </w:p>
    <w:p>
      <w:pPr>
        <w:numPr>
          <w:ilvl w:val="0"/>
          <w:numId w:val="1003"/>
        </w:numPr>
      </w:pPr>
      <w:r>
        <w:rPr>
          <w:b/>
          <w:bCs/>
        </w:rPr>
        <w:t xml:space="preserve">HOG Features</w:t>
      </w:r>
      <w:r>
        <w:t xml:space="preserve">: Histogram of Oriented Gradients captures local shape information using 9 orientation bins over</w:t>
      </w:r>
      <w:r>
        <w:t xml:space="preserve"> </w:t>
      </w:r>
      <m:oMath>
        <m:r>
          <m:t>28</m:t>
        </m:r>
        <m:r>
          <m:rPr>
            <m:sty m:val="p"/>
          </m:rPr>
          <m:t>×</m:t>
        </m:r>
        <m:r>
          <m:t>28</m:t>
        </m:r>
      </m:oMath>
      <w:r>
        <w:t xml:space="preserve"> </w:t>
      </w:r>
      <w:r>
        <w:t xml:space="preserve">spatial cells.</w:t>
      </w:r>
    </w:p>
    <w:p>
      <w:pPr>
        <w:numPr>
          <w:ilvl w:val="0"/>
          <w:numId w:val="1003"/>
        </w:numPr>
      </w:pPr>
      <w:r>
        <w:rPr>
          <w:b/>
          <w:bCs/>
        </w:rPr>
        <w:t xml:space="preserve">Color Histograms</w:t>
      </w:r>
      <w:r>
        <w:t xml:space="preserve">: 64-bin RGB color histograms (192 dimensions total) capture intensity distributions across color channels.</w:t>
      </w:r>
    </w:p>
    <w:p>
      <w:pPr>
        <w:numPr>
          <w:ilvl w:val="0"/>
          <w:numId w:val="1003"/>
        </w:numPr>
      </w:pPr>
      <w:r>
        <w:rPr>
          <w:b/>
          <w:bCs/>
        </w:rPr>
        <w:t xml:space="preserve">Edge Features</w:t>
      </w:r>
      <w:r>
        <w:t xml:space="preserve">: Canny edge density, contour count, and 7 Hu moments (10 dimensions total) capture structural characteristics.</w:t>
      </w:r>
    </w:p>
    <w:p>
      <w:pPr>
        <w:pStyle w:val="FirstParagraph"/>
      </w:pPr>
      <w:r>
        <w:t xml:space="preserve">The combined feature vector has dimensionality:</w:t>
      </w:r>
    </w:p>
    <w:p>
      <w:pPr>
        <w:pStyle w:val="BodyText"/>
      </w:pPr>
      <m:oMathPara>
        <m:oMathParaPr>
          <m:jc m:val="center"/>
        </m:oMathParaPr>
        <m:oMath>
          <m:sSub>
            <m:e>
              <m:r>
                <m:t>d</m:t>
              </m:r>
            </m:e>
            <m:sub>
              <m:r>
                <m:rPr>
                  <m:nor/>
                  <m:sty m:val="p"/>
                </m:rPr>
                <m:t>total</m:t>
              </m:r>
            </m:sub>
          </m:sSub>
          <m:r>
            <m:rPr>
              <m:sty m:val="p"/>
            </m:rPr>
            <m:t>=</m:t>
          </m:r>
          <m:sSub>
            <m:e>
              <m:r>
                <m:t>d</m:t>
              </m:r>
            </m:e>
            <m:sub>
              <m:r>
                <m:rPr>
                  <m:nor/>
                  <m:sty m:val="p"/>
                </m:rPr>
                <m:t>CNN</m:t>
              </m:r>
            </m:sub>
          </m:sSub>
          <m:r>
            <m:rPr>
              <m:sty m:val="p"/>
            </m:rPr>
            <m:t>+</m:t>
          </m:r>
          <m:sSub>
            <m:e>
              <m:r>
                <m:t>d</m:t>
              </m:r>
            </m:e>
            <m:sub>
              <m:r>
                <m:rPr>
                  <m:nor/>
                  <m:sty m:val="p"/>
                </m:rPr>
                <m:t>HOG</m:t>
              </m:r>
            </m:sub>
          </m:sSub>
          <m:r>
            <m:rPr>
              <m:sty m:val="p"/>
            </m:rPr>
            <m:t>+</m:t>
          </m:r>
          <m:sSub>
            <m:e>
              <m:r>
                <m:t>d</m:t>
              </m:r>
            </m:e>
            <m:sub>
              <m:r>
                <m:rPr>
                  <m:nor/>
                  <m:sty m:val="p"/>
                </m:rPr>
                <m:t>hist</m:t>
              </m:r>
            </m:sub>
          </m:sSub>
          <m:r>
            <m:rPr>
              <m:sty m:val="p"/>
            </m:rPr>
            <m:t>+</m:t>
          </m:r>
          <m:sSub>
            <m:e>
              <m:r>
                <m:t>d</m:t>
              </m:r>
            </m:e>
            <m:sub>
              <m:r>
                <m:rPr>
                  <m:nor/>
                  <m:sty m:val="p"/>
                </m:rPr>
                <m:t>edge</m:t>
              </m:r>
            </m:sub>
          </m:sSub>
          <m:r>
            <m:rPr>
              <m:sty m:val="p"/>
            </m:rPr>
            <m:t>=</m:t>
          </m:r>
          <m:r>
            <m:t>512</m:t>
          </m:r>
          <m:r>
            <m:rPr>
              <m:sty m:val="p"/>
            </m:rPr>
            <m:t>+</m:t>
          </m:r>
          <m:r>
            <m:t>324</m:t>
          </m:r>
          <m:r>
            <m:rPr>
              <m:sty m:val="p"/>
            </m:rPr>
            <m:t>+</m:t>
          </m:r>
          <m:r>
            <m:t>192</m:t>
          </m:r>
          <m:r>
            <m:rPr>
              <m:sty m:val="p"/>
            </m:rPr>
            <m:t>+</m:t>
          </m:r>
          <m:r>
            <m:t>10</m:t>
          </m:r>
          <m:r>
            <m:rPr>
              <m:sty m:val="p"/>
            </m:rPr>
            <m:t>=</m:t>
          </m:r>
          <m:r>
            <m:t>1</m:t>
          </m:r>
          <m:r>
            <m:rPr>
              <m:sty m:val="p"/>
            </m:rPr>
            <m:t>,</m:t>
          </m:r>
          <m:r>
            <m:t>038</m:t>
          </m:r>
        </m:oMath>
      </m:oMathPara>
    </w:p>
    <w:bookmarkEnd w:id="30"/>
    <w:bookmarkStart w:id="34" w:name="subsec:models"/>
    <w:p>
      <w:pPr>
        <w:pStyle w:val="Heading2"/>
      </w:pPr>
      <w:r>
        <w:t xml:space="preserve">Stage 3: Classification Models</w:t>
      </w:r>
    </w:p>
    <w:bookmarkStart w:id="31" w:name="braintumorcnn"/>
    <w:p>
      <w:pPr>
        <w:pStyle w:val="Heading3"/>
      </w:pPr>
      <w:r>
        <w:t xml:space="preserve">BrainTumorCNN</w:t>
      </w:r>
    </w:p>
    <w:p>
      <w:pPr>
        <w:pStyle w:val="FirstParagraph"/>
      </w:pPr>
      <w:r>
        <w:t xml:space="preserve">A custom 4-layer CNN architecture designed specifically for brain tumor classification:</w:t>
      </w:r>
    </w:p>
    <w:p>
      <w:pPr>
        <w:numPr>
          <w:ilvl w:val="0"/>
          <w:numId w:val="1004"/>
        </w:numPr>
      </w:pPr>
      <w:r>
        <w:rPr>
          <w:b/>
          <w:bCs/>
        </w:rPr>
        <w:t xml:space="preserve">Conv Block 1</w:t>
      </w:r>
      <w:r>
        <w:t xml:space="preserve">: Conv2d(3</w:t>
      </w:r>
      <m:oMath>
        <m:r>
          <m:rPr>
            <m:sty m:val="p"/>
          </m:rPr>
          <m:t>→</m:t>
        </m:r>
      </m:oMath>
      <w:r>
        <w:t xml:space="preserve">32,</w:t>
      </w:r>
      <w:r>
        <w:t xml:space="preserve"> </w:t>
      </w:r>
      <m:oMath>
        <m:r>
          <m:t>3</m:t>
        </m:r>
        <m:r>
          <m:rPr>
            <m:sty m:val="p"/>
          </m:rPr>
          <m:t>×</m:t>
        </m:r>
        <m:r>
          <m:t>3</m:t>
        </m:r>
      </m:oMath>
      <w:r>
        <w:t xml:space="preserve">)</w:t>
      </w:r>
      <w:r>
        <w:t xml:space="preserve"> </w:t>
      </w:r>
      <m:oMath>
        <m:r>
          <m:rPr>
            <m:sty m:val="p"/>
          </m:rPr>
          <m:t>→</m:t>
        </m:r>
      </m:oMath>
      <w:r>
        <w:t xml:space="preserve"> </w:t>
      </w:r>
      <w:r>
        <w:t xml:space="preserve">BatchNorm</w:t>
      </w:r>
      <w:r>
        <w:t xml:space="preserve"> </w:t>
      </w:r>
      <m:oMath>
        <m:r>
          <m:rPr>
            <m:sty m:val="p"/>
          </m:rPr>
          <m:t>→</m:t>
        </m:r>
      </m:oMath>
      <w:r>
        <w:t xml:space="preserve"> </w:t>
      </w:r>
      <w:r>
        <w:t xml:space="preserve">ReLU</w:t>
      </w:r>
      <w:r>
        <w:t xml:space="preserve"> </w:t>
      </w:r>
      <m:oMath>
        <m:r>
          <m:rPr>
            <m:sty m:val="p"/>
          </m:rPr>
          <m:t>→</m:t>
        </m:r>
      </m:oMath>
      <w:r>
        <w:t xml:space="preserve"> </w:t>
      </w:r>
      <w:r>
        <w:t xml:space="preserve">MaxPool(</w:t>
      </w:r>
      <m:oMath>
        <m:r>
          <m:t>2</m:t>
        </m:r>
        <m:r>
          <m:rPr>
            <m:sty m:val="p"/>
          </m:rPr>
          <m:t>×</m:t>
        </m:r>
        <m:r>
          <m:t>2</m:t>
        </m:r>
      </m:oMath>
      <w:r>
        <w:t xml:space="preserve">)</w:t>
      </w:r>
    </w:p>
    <w:p>
      <w:pPr>
        <w:numPr>
          <w:ilvl w:val="0"/>
          <w:numId w:val="1004"/>
        </w:numPr>
      </w:pPr>
      <w:r>
        <w:rPr>
          <w:b/>
          <w:bCs/>
        </w:rPr>
        <w:t xml:space="preserve">Conv Block 2</w:t>
      </w:r>
      <w:r>
        <w:t xml:space="preserve">: Conv2d(32</w:t>
      </w:r>
      <m:oMath>
        <m:r>
          <m:rPr>
            <m:sty m:val="p"/>
          </m:rPr>
          <m:t>→</m:t>
        </m:r>
      </m:oMath>
      <w:r>
        <w:t xml:space="preserve">64,</w:t>
      </w:r>
      <w:r>
        <w:t xml:space="preserve"> </w:t>
      </w:r>
      <m:oMath>
        <m:r>
          <m:t>3</m:t>
        </m:r>
        <m:r>
          <m:rPr>
            <m:sty m:val="p"/>
          </m:rPr>
          <m:t>×</m:t>
        </m:r>
        <m:r>
          <m:t>3</m:t>
        </m:r>
      </m:oMath>
      <w:r>
        <w:t xml:space="preserve">)</w:t>
      </w:r>
      <w:r>
        <w:t xml:space="preserve"> </w:t>
      </w:r>
      <m:oMath>
        <m:r>
          <m:rPr>
            <m:sty m:val="p"/>
          </m:rPr>
          <m:t>→</m:t>
        </m:r>
      </m:oMath>
      <w:r>
        <w:t xml:space="preserve"> </w:t>
      </w:r>
      <w:r>
        <w:t xml:space="preserve">BatchNorm</w:t>
      </w:r>
      <w:r>
        <w:t xml:space="preserve"> </w:t>
      </w:r>
      <m:oMath>
        <m:r>
          <m:rPr>
            <m:sty m:val="p"/>
          </m:rPr>
          <m:t>→</m:t>
        </m:r>
      </m:oMath>
      <w:r>
        <w:t xml:space="preserve"> </w:t>
      </w:r>
      <w:r>
        <w:t xml:space="preserve">ReLU</w:t>
      </w:r>
      <w:r>
        <w:t xml:space="preserve"> </w:t>
      </w:r>
      <m:oMath>
        <m:r>
          <m:rPr>
            <m:sty m:val="p"/>
          </m:rPr>
          <m:t>→</m:t>
        </m:r>
      </m:oMath>
      <w:r>
        <w:t xml:space="preserve"> </w:t>
      </w:r>
      <w:r>
        <w:t xml:space="preserve">MaxPool(</w:t>
      </w:r>
      <m:oMath>
        <m:r>
          <m:t>2</m:t>
        </m:r>
        <m:r>
          <m:rPr>
            <m:sty m:val="p"/>
          </m:rPr>
          <m:t>×</m:t>
        </m:r>
        <m:r>
          <m:t>2</m:t>
        </m:r>
      </m:oMath>
      <w:r>
        <w:t xml:space="preserve">)</w:t>
      </w:r>
    </w:p>
    <w:p>
      <w:pPr>
        <w:numPr>
          <w:ilvl w:val="0"/>
          <w:numId w:val="1004"/>
        </w:numPr>
      </w:pPr>
      <w:r>
        <w:rPr>
          <w:b/>
          <w:bCs/>
        </w:rPr>
        <w:t xml:space="preserve">Conv Block 3</w:t>
      </w:r>
      <w:r>
        <w:t xml:space="preserve">: Conv2d(64</w:t>
      </w:r>
      <m:oMath>
        <m:r>
          <m:rPr>
            <m:sty m:val="p"/>
          </m:rPr>
          <m:t>→</m:t>
        </m:r>
      </m:oMath>
      <w:r>
        <w:t xml:space="preserve">128,</w:t>
      </w:r>
      <w:r>
        <w:t xml:space="preserve"> </w:t>
      </w:r>
      <m:oMath>
        <m:r>
          <m:t>3</m:t>
        </m:r>
        <m:r>
          <m:rPr>
            <m:sty m:val="p"/>
          </m:rPr>
          <m:t>×</m:t>
        </m:r>
        <m:r>
          <m:t>3</m:t>
        </m:r>
      </m:oMath>
      <w:r>
        <w:t xml:space="preserve">)</w:t>
      </w:r>
      <w:r>
        <w:t xml:space="preserve"> </w:t>
      </w:r>
      <m:oMath>
        <m:r>
          <m:rPr>
            <m:sty m:val="p"/>
          </m:rPr>
          <m:t>→</m:t>
        </m:r>
      </m:oMath>
      <w:r>
        <w:t xml:space="preserve"> </w:t>
      </w:r>
      <w:r>
        <w:t xml:space="preserve">BatchNorm</w:t>
      </w:r>
      <w:r>
        <w:t xml:space="preserve"> </w:t>
      </w:r>
      <m:oMath>
        <m:r>
          <m:rPr>
            <m:sty m:val="p"/>
          </m:rPr>
          <m:t>→</m:t>
        </m:r>
      </m:oMath>
      <w:r>
        <w:t xml:space="preserve"> </w:t>
      </w:r>
      <w:r>
        <w:t xml:space="preserve">ReLU</w:t>
      </w:r>
      <w:r>
        <w:t xml:space="preserve"> </w:t>
      </w:r>
      <m:oMath>
        <m:r>
          <m:rPr>
            <m:sty m:val="p"/>
          </m:rPr>
          <m:t>→</m:t>
        </m:r>
      </m:oMath>
      <w:r>
        <w:t xml:space="preserve"> </w:t>
      </w:r>
      <w:r>
        <w:t xml:space="preserve">MaxPool(</w:t>
      </w:r>
      <m:oMath>
        <m:r>
          <m:t>2</m:t>
        </m:r>
        <m:r>
          <m:rPr>
            <m:sty m:val="p"/>
          </m:rPr>
          <m:t>×</m:t>
        </m:r>
        <m:r>
          <m:t>2</m:t>
        </m:r>
      </m:oMath>
      <w:r>
        <w:t xml:space="preserve">)</w:t>
      </w:r>
    </w:p>
    <w:p>
      <w:pPr>
        <w:numPr>
          <w:ilvl w:val="0"/>
          <w:numId w:val="1004"/>
        </w:numPr>
      </w:pPr>
      <w:r>
        <w:rPr>
          <w:b/>
          <w:bCs/>
        </w:rPr>
        <w:t xml:space="preserve">Conv Block 4</w:t>
      </w:r>
      <w:r>
        <w:t xml:space="preserve">: Conv2d(128</w:t>
      </w:r>
      <m:oMath>
        <m:r>
          <m:rPr>
            <m:sty m:val="p"/>
          </m:rPr>
          <m:t>→</m:t>
        </m:r>
      </m:oMath>
      <w:r>
        <w:t xml:space="preserve">256,</w:t>
      </w:r>
      <w:r>
        <w:t xml:space="preserve"> </w:t>
      </w:r>
      <m:oMath>
        <m:r>
          <m:t>3</m:t>
        </m:r>
        <m:r>
          <m:rPr>
            <m:sty m:val="p"/>
          </m:rPr>
          <m:t>×</m:t>
        </m:r>
        <m:r>
          <m:t>3</m:t>
        </m:r>
      </m:oMath>
      <w:r>
        <w:t xml:space="preserve">)</w:t>
      </w:r>
      <w:r>
        <w:t xml:space="preserve"> </w:t>
      </w:r>
      <m:oMath>
        <m:r>
          <m:rPr>
            <m:sty m:val="p"/>
          </m:rPr>
          <m:t>→</m:t>
        </m:r>
      </m:oMath>
      <w:r>
        <w:t xml:space="preserve"> </w:t>
      </w:r>
      <w:r>
        <w:t xml:space="preserve">BatchNorm</w:t>
      </w:r>
      <w:r>
        <w:t xml:space="preserve"> </w:t>
      </w:r>
      <m:oMath>
        <m:r>
          <m:rPr>
            <m:sty m:val="p"/>
          </m:rPr>
          <m:t>→</m:t>
        </m:r>
      </m:oMath>
      <w:r>
        <w:t xml:space="preserve"> </w:t>
      </w:r>
      <w:r>
        <w:t xml:space="preserve">ReLU</w:t>
      </w:r>
      <w:r>
        <w:t xml:space="preserve"> </w:t>
      </w:r>
      <m:oMath>
        <m:r>
          <m:rPr>
            <m:sty m:val="p"/>
          </m:rPr>
          <m:t>→</m:t>
        </m:r>
      </m:oMath>
      <w:r>
        <w:t xml:space="preserve"> </w:t>
      </w:r>
      <w:r>
        <w:t xml:space="preserve">AdaptiveAvgPool(</w:t>
      </w:r>
      <m:oMath>
        <m:r>
          <m:t>7</m:t>
        </m:r>
        <m:r>
          <m:rPr>
            <m:sty m:val="p"/>
          </m:rPr>
          <m:t>×</m:t>
        </m:r>
        <m:r>
          <m:t>7</m:t>
        </m:r>
      </m:oMath>
      <w:r>
        <w:t xml:space="preserve">)</w:t>
      </w:r>
    </w:p>
    <w:p>
      <w:pPr>
        <w:numPr>
          <w:ilvl w:val="0"/>
          <w:numId w:val="1004"/>
        </w:numPr>
      </w:pPr>
      <w:r>
        <w:rPr>
          <w:b/>
          <w:bCs/>
        </w:rPr>
        <w:t xml:space="preserve">Classifier</w:t>
      </w:r>
      <w:r>
        <w:t xml:space="preserve">: Linear(</w:t>
      </w:r>
      <m:oMath>
        <m:r>
          <m:t>256</m:t>
        </m:r>
        <m:r>
          <m:rPr>
            <m:sty m:val="p"/>
          </m:rPr>
          <m:t>×</m:t>
        </m:r>
        <m:r>
          <m:t>7</m:t>
        </m:r>
        <m:r>
          <m:rPr>
            <m:sty m:val="p"/>
          </m:rPr>
          <m:t>×</m:t>
        </m:r>
        <m:r>
          <m:t>7</m:t>
        </m:r>
        <m:r>
          <m:rPr>
            <m:sty m:val="p"/>
          </m:rPr>
          <m:t>→</m:t>
        </m:r>
        <m:r>
          <m:t>512</m:t>
        </m:r>
      </m:oMath>
      <w:r>
        <w:t xml:space="preserve">)</w:t>
      </w:r>
      <w:r>
        <w:t xml:space="preserve"> </w:t>
      </w:r>
      <m:oMath>
        <m:r>
          <m:rPr>
            <m:sty m:val="p"/>
          </m:rPr>
          <m:t>→</m:t>
        </m:r>
      </m:oMath>
      <w:r>
        <w:t xml:space="preserve"> </w:t>
      </w:r>
      <w:r>
        <w:t xml:space="preserve">ReLU</w:t>
      </w:r>
      <w:r>
        <w:t xml:space="preserve"> </w:t>
      </w:r>
      <m:oMath>
        <m:r>
          <m:rPr>
            <m:sty m:val="p"/>
          </m:rPr>
          <m:t>→</m:t>
        </m:r>
      </m:oMath>
      <w:r>
        <w:t xml:space="preserve"> </w:t>
      </w:r>
      <w:r>
        <w:t xml:space="preserve">Dropout(0.5)</w:t>
      </w:r>
      <w:r>
        <w:t xml:space="preserve"> </w:t>
      </w:r>
      <m:oMath>
        <m:r>
          <m:rPr>
            <m:sty m:val="p"/>
          </m:rPr>
          <m:t>→</m:t>
        </m:r>
      </m:oMath>
      <w:r>
        <w:t xml:space="preserve"> </w:t>
      </w:r>
      <w:r>
        <w:t xml:space="preserve">Linear(</w:t>
      </w:r>
      <m:oMath>
        <m:r>
          <m:t>512</m:t>
        </m:r>
        <m:r>
          <m:rPr>
            <m:sty m:val="p"/>
          </m:rPr>
          <m:t>→</m:t>
        </m:r>
        <m:r>
          <m:t>4</m:t>
        </m:r>
      </m:oMath>
      <w:r>
        <w:t xml:space="preserve">)</w:t>
      </w:r>
    </w:p>
    <w:p>
      <w:pPr>
        <w:pStyle w:val="FirstParagraph"/>
      </w:pPr>
      <w:r>
        <w:t xml:space="preserve">The model contains 4,654,083 trainable parameters, trained with Adam optimizer (LR=0.001, weight decay=0.0001) and ReduceLROnPlateau scheduler.</w:t>
      </w:r>
    </w:p>
    <w:bookmarkEnd w:id="31"/>
    <w:bookmarkStart w:id="32" w:name="support-vector-machine"/>
    <w:p>
      <w:pPr>
        <w:pStyle w:val="Heading3"/>
      </w:pPr>
      <w:r>
        <w:t xml:space="preserve">Support Vector Machine</w:t>
      </w:r>
    </w:p>
    <w:p>
      <w:pPr>
        <w:pStyle w:val="FirstParagraph"/>
      </w:pPr>
      <w:r>
        <w:t xml:space="preserve">An SVM with RBF kernel (</w:t>
      </w:r>
      <m:oMath>
        <m:r>
          <m:t>C</m:t>
        </m:r>
        <m:r>
          <m:rPr>
            <m:sty m:val="p"/>
          </m:rPr>
          <m:t>=</m:t>
        </m:r>
        <m:r>
          <m:t>10</m:t>
        </m:r>
      </m:oMath>
      <w:r>
        <w:t xml:space="preserve">,</w:t>
      </w:r>
      <w:r>
        <w:t xml:space="preserve"> </w:t>
      </w:r>
      <m:oMath>
        <m:r>
          <m:t>γ</m:t>
        </m:r>
        <m:r>
          <m:rPr>
            <m:sty m:val="p"/>
          </m:rPr>
          <m:t>=</m:t>
        </m:r>
        <m:r>
          <m:rPr>
            <m:nor/>
            <m:sty m:val="p"/>
          </m:rPr>
          <m:t>scale</m:t>
        </m:r>
      </m:oMath>
      <w:r>
        <w:t xml:space="preserve">) is trained on the combined 1,038-dimensional feature vectors after StandardScaler normalization.</w:t>
      </w:r>
    </w:p>
    <w:bookmarkEnd w:id="32"/>
    <w:bookmarkStart w:id="33" w:name="random-forest"/>
    <w:p>
      <w:pPr>
        <w:pStyle w:val="Heading3"/>
      </w:pPr>
      <w:r>
        <w:t xml:space="preserve">Random Forest</w:t>
      </w:r>
    </w:p>
    <w:p>
      <w:pPr>
        <w:pStyle w:val="FirstParagraph"/>
      </w:pPr>
      <w:r>
        <w:t xml:space="preserve">A Random Forest ensemble with 200 decision trees (no maximum depth limit) is trained on the same feature representation, leveraging bagging and random feature subsets for variance reduction.</w:t>
      </w:r>
    </w:p>
    <w:bookmarkEnd w:id="33"/>
    <w:bookmarkEnd w:id="34"/>
    <w:bookmarkEnd w:id="35"/>
    <w:bookmarkStart w:id="41" w:name="sec:experiments"/>
    <w:p>
      <w:pPr>
        <w:pStyle w:val="Heading1"/>
      </w:pPr>
      <w:r>
        <w:t xml:space="preserve">Experimental Results</w:t>
      </w:r>
    </w:p>
    <w:bookmarkStart w:id="37" w:name="training-configuration"/>
    <w:p>
      <w:pPr>
        <w:pStyle w:val="Heading2"/>
      </w:pPr>
      <w:r>
        <w:t xml:space="preserve">Training Configuration</w:t>
      </w:r>
    </w:p>
    <w:p>
      <w:pPr>
        <w:pStyle w:val="FirstParagraph"/>
      </w:pPr>
      <w:r>
        <w:t xml:space="preserve">All experiments use an 80/20 stratified train/test split (5,244 training / 1,312 test samples). The CNN is trained for 35 epochs with a batch size of 32. Table </w:t>
      </w:r>
      <w:hyperlink w:anchor="tab:training">
        <w:r>
          <w:rPr>
            <w:rStyle w:val="Hyperlink"/>
          </w:rPr>
          <w:t xml:space="preserve">2</w:t>
        </w:r>
      </w:hyperlink>
      <w:r>
        <w:t xml:space="preserve"> </w:t>
      </w:r>
      <w:r>
        <w:t xml:space="preserve">summarizes the training configuration.</w:t>
      </w:r>
    </w:p>
    <w:bookmarkStart w:id="36" w:name="tab:training"/>
    <w:p>
      <w:pPr>
        <w:pStyle w:val="TableCaption"/>
      </w:pPr>
      <w:r>
        <w:t xml:space="preserve">Training Configuration</w:t>
      </w:r>
    </w:p>
    <w:tbl>
      <w:tblPr>
        <w:tblStyle w:val="Table"/>
        <w:tblW w:type="auto" w:w="0"/>
        <w:tblLook w:firstRow="1" w:lastRow="0" w:firstColumn="0" w:lastColumn="0" w:noHBand="0" w:noVBand="0" w:val="0020"/>
        <w:tblCaption w:val="Training Configuration"/>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Optimizer</w:t>
            </w:r>
          </w:p>
        </w:tc>
        <w:tc>
          <w:tcPr/>
          <w:p>
            <w:pPr>
              <w:pStyle w:val="Compact"/>
              <w:jc w:val="left"/>
            </w:pPr>
            <w:r>
              <w:t xml:space="preserve">Adam</w:t>
            </w:r>
          </w:p>
        </w:tc>
      </w:tr>
      <w:tr>
        <w:tc>
          <w:tcPr/>
          <w:p>
            <w:pPr>
              <w:pStyle w:val="Compact"/>
              <w:jc w:val="left"/>
            </w:pPr>
            <w:r>
              <w:t xml:space="preserve">Learning Rate</w:t>
            </w:r>
          </w:p>
        </w:tc>
        <w:tc>
          <w:tcPr/>
          <w:p>
            <w:pPr>
              <w:pStyle w:val="Compact"/>
              <w:jc w:val="left"/>
            </w:pPr>
            <w:r>
              <w:t xml:space="preserve">0.001</w:t>
            </w:r>
          </w:p>
        </w:tc>
      </w:tr>
      <w:tr>
        <w:tc>
          <w:tcPr/>
          <w:p>
            <w:pPr>
              <w:pStyle w:val="Compact"/>
              <w:jc w:val="left"/>
            </w:pPr>
            <w:r>
              <w:t xml:space="preserve">Weight Decay</w:t>
            </w:r>
          </w:p>
        </w:tc>
        <w:tc>
          <w:tcPr/>
          <w:p>
            <w:pPr>
              <w:pStyle w:val="Compact"/>
              <w:jc w:val="left"/>
            </w:pPr>
            <w:r>
              <w:t xml:space="preserve">0.0001</w:t>
            </w:r>
          </w:p>
        </w:tc>
      </w:tr>
      <w:tr>
        <w:tc>
          <w:tcPr/>
          <w:p>
            <w:pPr>
              <w:pStyle w:val="Compact"/>
              <w:jc w:val="left"/>
            </w:pPr>
            <w:r>
              <w:t xml:space="preserve">Scheduler</w:t>
            </w:r>
          </w:p>
        </w:tc>
        <w:tc>
          <w:tcPr/>
          <w:p>
            <w:pPr>
              <w:pStyle w:val="Compact"/>
              <w:jc w:val="left"/>
            </w:pPr>
            <w:r>
              <w:t xml:space="preserve">ReduceLROnPlateau</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Epochs (CNN)</w:t>
            </w:r>
          </w:p>
        </w:tc>
        <w:tc>
          <w:tcPr/>
          <w:p>
            <w:pPr>
              <w:pStyle w:val="Compact"/>
              <w:jc w:val="left"/>
            </w:pPr>
            <w:r>
              <w:t xml:space="preserve">35</w:t>
            </w:r>
          </w:p>
        </w:tc>
      </w:tr>
      <w:tr>
        <w:tc>
          <w:tcPr/>
          <w:p>
            <w:pPr>
              <w:pStyle w:val="Compact"/>
              <w:jc w:val="left"/>
            </w:pPr>
            <w:r>
              <w:t xml:space="preserve">Image Size</w:t>
            </w:r>
          </w:p>
        </w:tc>
        <w:tc>
          <w:tcPr/>
          <w:p>
            <w:pPr>
              <w:pStyle w:val="Compact"/>
              <w:jc w:val="left"/>
            </w:pPr>
            <m:oMath>
              <m:r>
                <m:t>224</m:t>
              </m:r>
              <m:r>
                <m:rPr>
                  <m:sty m:val="p"/>
                </m:rPr>
                <m:t>×</m:t>
              </m:r>
              <m:r>
                <m:t>224</m:t>
              </m:r>
            </m:oMath>
          </w:p>
        </w:tc>
      </w:tr>
      <w:tr>
        <w:tc>
          <w:tcPr/>
          <w:p>
            <w:pPr>
              <w:pStyle w:val="Compact"/>
              <w:jc w:val="left"/>
            </w:pPr>
            <w:r>
              <w:t xml:space="preserve">Framework</w:t>
            </w:r>
          </w:p>
        </w:tc>
        <w:tc>
          <w:tcPr/>
          <w:p>
            <w:pPr>
              <w:pStyle w:val="Compact"/>
              <w:jc w:val="left"/>
            </w:pPr>
            <w:r>
              <w:t xml:space="preserve">PyTorch / ONNX</w:t>
            </w:r>
          </w:p>
        </w:tc>
      </w:tr>
    </w:tbl>
    <w:bookmarkEnd w:id="36"/>
    <w:bookmarkEnd w:id="37"/>
    <w:bookmarkStart w:id="38" w:name="cnn-training-convergence"/>
    <w:p>
      <w:pPr>
        <w:pStyle w:val="Heading2"/>
      </w:pPr>
      <w:r>
        <w:t xml:space="preserve">CNN Training Convergence</w:t>
      </w:r>
    </w:p>
    <w:p>
      <w:pPr>
        <w:pStyle w:val="FirstParagraph"/>
      </w:pPr>
      <w:r>
        <w:t xml:space="preserve">The BrainTumorCNN converges within approximately 25 epochs, with the best test accuracy of 99.34% achieved at epoch 28. Training and validation loss curves demonstrate stable convergence without significant overfitting, as shown in Fig. </w:t>
      </w:r>
      <w:hyperlink w:anchor="fig:training">
        <w:r>
          <w:rPr>
            <w:rStyle w:val="Hyperlink"/>
          </w:rPr>
          <w:t xml:space="preserve">[fig:training]</w:t>
        </w:r>
      </w:hyperlink>
      <w:r>
        <w:t xml:space="preserve">.</w:t>
      </w:r>
    </w:p>
    <w:bookmarkEnd w:id="38"/>
    <w:bookmarkStart w:id="39" w:name="classification-results"/>
    <w:p>
      <w:pPr>
        <w:pStyle w:val="Heading2"/>
      </w:pPr>
      <w:r>
        <w:t xml:space="preserve">Classification Results</w:t>
      </w:r>
    </w:p>
    <w:p>
      <w:pPr>
        <w:pStyle w:val="FirstParagraph"/>
      </w:pPr>
      <w:r>
        <w:t xml:space="preserve">Table </w:t>
      </w:r>
      <w:hyperlink w:anchor="tab:results">
        <w:r>
          <w:rPr>
            <w:rStyle w:val="Hyperlink"/>
          </w:rPr>
          <w:t xml:space="preserve">[tab:results]</w:t>
        </w:r>
      </w:hyperlink>
      <w:r>
        <w:t xml:space="preserve"> </w:t>
      </w:r>
      <w:r>
        <w:t xml:space="preserve">presents the comprehensive evaluation metrics for all three classifiers.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 Score</w:t>
            </w:r>
          </w:p>
        </w:tc>
        <w:tc>
          <w:tcPr/>
          <w:p>
            <w:pPr>
              <w:pStyle w:val="Compact"/>
              <w:jc w:val="center"/>
            </w:pPr>
            <w:r>
              <w:rPr>
                <w:b/>
                <w:bCs/>
              </w:rPr>
              <w:t xml:space="preserve">IoU</w:t>
            </w:r>
          </w:p>
        </w:tc>
      </w:tr>
      <w:tr>
        <w:tc>
          <w:tcPr/>
          <w:p>
            <w:pPr>
              <w:pStyle w:val="Compact"/>
              <w:jc w:val="left"/>
            </w:pPr>
            <w:r>
              <w:t xml:space="preserve">BrainTumorCNN (Ours)</w:t>
            </w:r>
          </w:p>
        </w:tc>
        <w:tc>
          <w:tcPr/>
          <w:p>
            <w:pPr>
              <w:pStyle w:val="Compact"/>
              <w:jc w:val="center"/>
            </w:pPr>
            <w:r>
              <w:rPr>
                <w:b/>
                <w:bCs/>
              </w:rPr>
              <w:t xml:space="preserve">0.9934</w:t>
            </w:r>
          </w:p>
        </w:tc>
        <w:tc>
          <w:tcPr/>
          <w:p>
            <w:pPr>
              <w:pStyle w:val="Compact"/>
              <w:jc w:val="center"/>
            </w:pPr>
            <w:r>
              <w:rPr>
                <w:b/>
                <w:bCs/>
              </w:rPr>
              <w:t xml:space="preserve">0.9950</w:t>
            </w:r>
          </w:p>
        </w:tc>
        <w:tc>
          <w:tcPr/>
          <w:p>
            <w:pPr>
              <w:pStyle w:val="Compact"/>
              <w:jc w:val="center"/>
            </w:pPr>
            <w:r>
              <w:rPr>
                <w:b/>
                <w:bCs/>
              </w:rPr>
              <w:t xml:space="preserve">0.9934</w:t>
            </w:r>
          </w:p>
        </w:tc>
        <w:tc>
          <w:tcPr/>
          <w:p>
            <w:pPr>
              <w:pStyle w:val="Compact"/>
              <w:jc w:val="center"/>
            </w:pPr>
            <w:r>
              <w:rPr>
                <w:b/>
                <w:bCs/>
              </w:rPr>
              <w:t xml:space="preserve">0.9940</w:t>
            </w:r>
          </w:p>
        </w:tc>
        <w:tc>
          <w:tcPr/>
          <w:p>
            <w:pPr>
              <w:pStyle w:val="Compact"/>
              <w:jc w:val="center"/>
            </w:pPr>
            <w:r>
              <w:rPr>
                <w:b/>
                <w:bCs/>
              </w:rPr>
              <w:t xml:space="preserve">0.9881</w:t>
            </w:r>
          </w:p>
        </w:tc>
      </w:tr>
      <w:tr>
        <w:tc>
          <w:tcPr/>
          <w:p>
            <w:pPr>
              <w:pStyle w:val="Compact"/>
              <w:jc w:val="left"/>
            </w:pPr>
            <w:r>
              <w:t xml:space="preserve">SVM (RBF Kernel)</w:t>
            </w:r>
          </w:p>
        </w:tc>
        <w:tc>
          <w:tcPr/>
          <w:p>
            <w:pPr>
              <w:pStyle w:val="Compact"/>
              <w:jc w:val="center"/>
            </w:pPr>
            <w:r>
              <w:t xml:space="preserve">0.9653</w:t>
            </w:r>
          </w:p>
        </w:tc>
        <w:tc>
          <w:tcPr/>
          <w:p>
            <w:pPr>
              <w:pStyle w:val="Compact"/>
              <w:jc w:val="center"/>
            </w:pPr>
            <w:r>
              <w:t xml:space="preserve">0.9660</w:t>
            </w:r>
          </w:p>
        </w:tc>
        <w:tc>
          <w:tcPr/>
          <w:p>
            <w:pPr>
              <w:pStyle w:val="Compact"/>
              <w:jc w:val="center"/>
            </w:pPr>
            <w:r>
              <w:t xml:space="preserve">0.9653</w:t>
            </w:r>
          </w:p>
        </w:tc>
        <w:tc>
          <w:tcPr/>
          <w:p>
            <w:pPr>
              <w:pStyle w:val="Compact"/>
              <w:jc w:val="center"/>
            </w:pPr>
            <w:r>
              <w:t xml:space="preserve">0.9650</w:t>
            </w:r>
          </w:p>
        </w:tc>
        <w:tc>
          <w:tcPr/>
          <w:p>
            <w:pPr>
              <w:pStyle w:val="Compact"/>
              <w:jc w:val="center"/>
            </w:pPr>
            <w:r>
              <w:t xml:space="preserve">0.9330</w:t>
            </w:r>
          </w:p>
        </w:tc>
      </w:tr>
      <w:tr>
        <w:tc>
          <w:tcPr/>
          <w:p>
            <w:pPr>
              <w:pStyle w:val="Compact"/>
              <w:jc w:val="left"/>
            </w:pPr>
            <w:r>
              <w:t xml:space="preserve">Random Forest (200 trees)</w:t>
            </w:r>
          </w:p>
        </w:tc>
        <w:tc>
          <w:tcPr/>
          <w:p>
            <w:pPr>
              <w:pStyle w:val="Compact"/>
              <w:jc w:val="center"/>
            </w:pPr>
            <w:r>
              <w:t xml:space="preserve">0.9504</w:t>
            </w:r>
          </w:p>
        </w:tc>
        <w:tc>
          <w:tcPr/>
          <w:p>
            <w:pPr>
              <w:pStyle w:val="Compact"/>
              <w:jc w:val="center"/>
            </w:pPr>
            <w:r>
              <w:t xml:space="preserve">0.9510</w:t>
            </w:r>
          </w:p>
        </w:tc>
        <w:tc>
          <w:tcPr/>
          <w:p>
            <w:pPr>
              <w:pStyle w:val="Compact"/>
              <w:jc w:val="center"/>
            </w:pPr>
            <w:r>
              <w:t xml:space="preserve">0.9504</w:t>
            </w:r>
          </w:p>
        </w:tc>
        <w:tc>
          <w:tcPr/>
          <w:p>
            <w:pPr>
              <w:pStyle w:val="Compact"/>
              <w:jc w:val="center"/>
            </w:pPr>
            <w:r>
              <w:t xml:space="preserve">0.9500</w:t>
            </w:r>
          </w:p>
        </w:tc>
        <w:tc>
          <w:tcPr/>
          <w:p>
            <w:pPr>
              <w:pStyle w:val="Compact"/>
              <w:jc w:val="center"/>
            </w:pPr>
            <w:r>
              <w:t xml:space="preserve">0.9050</w:t>
            </w:r>
          </w:p>
        </w:tc>
      </w:tr>
    </w:tbl>
    <w:bookmarkEnd w:id="39"/>
    <w:bookmarkStart w:id="40" w:name="confusion-matrix-analysis"/>
    <w:p>
      <w:pPr>
        <w:pStyle w:val="Heading2"/>
      </w:pPr>
      <w:r>
        <w:t xml:space="preserve">Confusion Matrix Analysis</w:t>
      </w:r>
    </w:p>
    <w:p>
      <w:pPr>
        <w:pStyle w:val="FirstParagraph"/>
      </w:pPr>
      <w:r>
        <w:t xml:space="preserve">The confusion matrix for BrainTumorCNN (Fig. </w:t>
      </w:r>
      <w:hyperlink w:anchor="fig:cm">
        <w:r>
          <w:rPr>
            <w:rStyle w:val="Hyperlink"/>
          </w:rPr>
          <w:t xml:space="preserve">[fig:cm]</w:t>
        </w:r>
      </w:hyperlink>
      <w:r>
        <w:t xml:space="preserve">) reveals that misclassifications are rare and evenly distributed:</w:t>
      </w:r>
    </w:p>
    <w:p>
      <w:pPr>
        <w:numPr>
          <w:ilvl w:val="0"/>
          <w:numId w:val="1005"/>
        </w:numPr>
      </w:pPr>
      <w:r>
        <w:rPr>
          <w:b/>
          <w:bCs/>
        </w:rPr>
        <w:t xml:space="preserve">Glioma</w:t>
      </w:r>
      <w:r>
        <w:t xml:space="preserve">: 399/401 correctly classified (99.5% recall), 1 misclassified as meningioma, 1 as tumor.</w:t>
      </w:r>
    </w:p>
    <w:p>
      <w:pPr>
        <w:numPr>
          <w:ilvl w:val="0"/>
          <w:numId w:val="1005"/>
        </w:numPr>
      </w:pPr>
      <w:r>
        <w:rPr>
          <w:b/>
          <w:bCs/>
        </w:rPr>
        <w:t xml:space="preserve">Meningioma</w:t>
      </w:r>
      <w:r>
        <w:t xml:space="preserve">: 400/401 correctly classified (99.8% recall), 1 misclassified as glioma.</w:t>
      </w:r>
    </w:p>
    <w:p>
      <w:pPr>
        <w:numPr>
          <w:ilvl w:val="0"/>
          <w:numId w:val="1005"/>
        </w:numPr>
      </w:pPr>
      <w:r>
        <w:rPr>
          <w:b/>
          <w:bCs/>
        </w:rPr>
        <w:t xml:space="preserve">Brain Tumor</w:t>
      </w:r>
      <w:r>
        <w:t xml:space="preserve">: 405/410 correctly classified (98.8% recall), 5 misclassified as meningioma.</w:t>
      </w:r>
    </w:p>
    <w:p>
      <w:pPr>
        <w:pStyle w:val="FirstParagraph"/>
      </w:pPr>
      <w:r>
        <w:t xml:space="preserve">The model exhibits the highest confusion between meningioma and brain tumor classes, which is clinically expected given their similar imaging characteristics.</w:t>
      </w:r>
    </w:p>
    <w:bookmarkEnd w:id="40"/>
    <w:bookmarkEnd w:id="41"/>
    <w:bookmarkStart w:id="48" w:name="sec:evaluation"/>
    <w:p>
      <w:pPr>
        <w:pStyle w:val="Heading1"/>
      </w:pPr>
      <w:r>
        <w:t xml:space="preserve">Evaluation and Discussion</w:t>
      </w:r>
    </w:p>
    <w:bookmarkStart w:id="42" w:name="performance-analysis"/>
    <w:p>
      <w:pPr>
        <w:pStyle w:val="Heading2"/>
      </w:pPr>
      <w:r>
        <w:t xml:space="preserve">Performance Analysis</w:t>
      </w:r>
    </w:p>
    <w:p>
      <w:pPr>
        <w:pStyle w:val="FirstParagraph"/>
      </w:pPr>
      <w:r>
        <w:t xml:space="preserve">The BrainTumorCNN outperforms both SVM and Random Forest across all five evaluation metrics (Fig. </w:t>
      </w:r>
      <w:hyperlink w:anchor="fig:comparison">
        <w:r>
          <w:rPr>
            <w:rStyle w:val="Hyperlink"/>
          </w:rPr>
          <w:t xml:space="preserve">[fig:comparison]</w:t>
        </w:r>
      </w:hyperlink>
      <w:r>
        <w:t xml:space="preserve">). The performance gap is most pronounced in IoU (98.81% vs. 93.30% for SVM), indicating that the CNN produces significantly fewer false positives and false negatives.</w:t>
      </w:r>
    </w:p>
    <w:bookmarkEnd w:id="42"/>
    <w:bookmarkStart w:id="43" w:name="computational-feasibility"/>
    <w:p>
      <w:pPr>
        <w:pStyle w:val="Heading2"/>
      </w:pPr>
      <w:r>
        <w:t xml:space="preserve">Computational Feasibility</w:t>
      </w:r>
    </w:p>
    <w:p>
      <w:pPr>
        <w:pStyle w:val="FirstParagraph"/>
      </w:pPr>
      <w:r>
        <w:t xml:space="preserve">Despite its superior accuracy, BrainTumorCNN maintains computational feasibility for clinical deployment:</w:t>
      </w:r>
    </w:p>
    <w:p>
      <w:pPr>
        <w:numPr>
          <w:ilvl w:val="0"/>
          <w:numId w:val="1006"/>
        </w:numPr>
      </w:pPr>
      <w:r>
        <w:rPr>
          <w:b/>
          <w:bCs/>
        </w:rPr>
        <w:t xml:space="preserve">Model size</w:t>
      </w:r>
      <w:r>
        <w:t xml:space="preserve">: 17.8 MB (ONNX format), suitable for edge deployment.</w:t>
      </w:r>
    </w:p>
    <w:p>
      <w:pPr>
        <w:numPr>
          <w:ilvl w:val="0"/>
          <w:numId w:val="1006"/>
        </w:numPr>
      </w:pPr>
      <w:r>
        <w:rPr>
          <w:b/>
          <w:bCs/>
        </w:rPr>
        <w:t xml:space="preserve">Inference time</w:t>
      </w:r>
      <w:r>
        <w:t xml:space="preserve">:</w:t>
      </w:r>
      <w:r>
        <w:t xml:space="preserve"> </w:t>
      </w:r>
      <m:oMath>
        <m:r>
          <m:rPr>
            <m:sty m:val="p"/>
          </m:rPr>
          <m:t>&lt;</m:t>
        </m:r>
      </m:oMath>
      <w:r>
        <w:t xml:space="preserve">100ms per image on CPU,</w:t>
      </w:r>
      <w:r>
        <w:t xml:space="preserve"> </w:t>
      </w:r>
      <m:oMath>
        <m:r>
          <m:rPr>
            <m:sty m:val="p"/>
          </m:rPr>
          <m:t>&lt;</m:t>
        </m:r>
      </m:oMath>
      <w:r>
        <w:t xml:space="preserve">20ms on GPU.</w:t>
      </w:r>
    </w:p>
    <w:p>
      <w:pPr>
        <w:numPr>
          <w:ilvl w:val="0"/>
          <w:numId w:val="1006"/>
        </w:numPr>
      </w:pPr>
      <w:r>
        <w:rPr>
          <w:b/>
          <w:bCs/>
        </w:rPr>
        <w:t xml:space="preserve">Parameters</w:t>
      </w:r>
      <w:r>
        <w:t xml:space="preserve">: 4.65M (vs. 23.5M for ResNet-50, 138M for VGG-16).</w:t>
      </w:r>
    </w:p>
    <w:bookmarkEnd w:id="43"/>
    <w:bookmarkStart w:id="44" w:name="feature-importance-analysis"/>
    <w:p>
      <w:pPr>
        <w:pStyle w:val="Heading2"/>
      </w:pPr>
      <w:r>
        <w:t xml:space="preserve">Feature Importance Analysis</w:t>
      </w:r>
    </w:p>
    <w:p>
      <w:pPr>
        <w:pStyle w:val="FirstParagraph"/>
      </w:pPr>
      <w:r>
        <w:t xml:space="preserve">The multi-modal feature extraction reveals that CNN features contribute most significantly to classification performance. However, the combination of all feature types provides marginal improvement (</w:t>
      </w:r>
      <m:oMath>
        <m:r>
          <m:rPr>
            <m:sty m:val="p"/>
          </m:rPr>
          <m:t>+</m:t>
        </m:r>
      </m:oMath>
      <w:r>
        <w:t xml:space="preserve">0.12% accuracy) over CNN features alone, suggesting that handcrafted features capture complementary information.</w:t>
      </w:r>
    </w:p>
    <w:bookmarkEnd w:id="44"/>
    <w:bookmarkStart w:id="45" w:name="healthy-class-handling"/>
    <w:p>
      <w:pPr>
        <w:pStyle w:val="Heading2"/>
      </w:pPr>
      <w:r>
        <w:t xml:space="preserve">Healthy Class Handling</w:t>
      </w:r>
    </w:p>
    <w:p>
      <w:pPr>
        <w:pStyle w:val="FirstParagraph"/>
      </w:pPr>
      <w:r>
        <w:t xml:space="preserve">The healthy class (7.6% of dataset) is handled via a probability threshold mechanism (</w:t>
      </w:r>
      <m:oMath>
        <m:r>
          <m:t>τ</m:t>
        </m:r>
        <m:r>
          <m:rPr>
            <m:sty m:val="p"/>
          </m:rPr>
          <m:t>=</m:t>
        </m:r>
        <m:r>
          <m:t>0.30</m:t>
        </m:r>
      </m:oMath>
      <w:r>
        <w:t xml:space="preserve">) rather than direct classification. When all class probabilities fall below</w:t>
      </w:r>
      <w:r>
        <w:t xml:space="preserve"> </w:t>
      </w:r>
      <m:oMath>
        <m:r>
          <m:t>τ</m:t>
        </m:r>
      </m:oMath>
      <w:r>
        <w:t xml:space="preserve">, the prediction defaults to</w:t>
      </w:r>
      <w:r>
        <w:t xml:space="preserve"> </w:t>
      </w:r>
      <w:r>
        <w:t xml:space="preserve">“healthy.”</w:t>
      </w:r>
      <w:r>
        <w:t xml:space="preserve"> </w:t>
      </w:r>
      <w:r>
        <w:t xml:space="preserve">This approach addresses the class imbalance issue but introduces a potential fragility that warrants further investigation.</w:t>
      </w:r>
    </w:p>
    <w:bookmarkEnd w:id="45"/>
    <w:bookmarkStart w:id="47" w:name="comparison-with-state-of-the-art"/>
    <w:p>
      <w:pPr>
        <w:pStyle w:val="Heading2"/>
      </w:pPr>
      <w:r>
        <w:t xml:space="preserve">Comparison with State-of-the-Art</w:t>
      </w:r>
    </w:p>
    <w:p>
      <w:pPr>
        <w:pStyle w:val="FirstParagraph"/>
      </w:pPr>
      <w:r>
        <w:t xml:space="preserve">Table </w:t>
      </w:r>
      <w:hyperlink w:anchor="tab:comparison">
        <w:r>
          <w:rPr>
            <w:rStyle w:val="Hyperlink"/>
          </w:rPr>
          <w:t xml:space="preserve">3</w:t>
        </w:r>
      </w:hyperlink>
      <w:r>
        <w:t xml:space="preserve"> </w:t>
      </w:r>
      <w:r>
        <w:t xml:space="preserve">compares our results with recent publications on brain tumor classification.</w:t>
      </w:r>
    </w:p>
    <w:bookmarkStart w:id="46" w:name="tab:comparison"/>
    <w:p>
      <w:pPr>
        <w:pStyle w:val="TableCaption"/>
      </w:pPr>
      <w:r>
        <w:t xml:space="preserve">Comparison with Recent Work</w:t>
      </w:r>
    </w:p>
    <w:tbl>
      <w:tblPr>
        <w:tblStyle w:val="Table"/>
        <w:tblW w:type="auto" w:w="0"/>
        <w:tblLook w:firstRow="1" w:lastRow="0" w:firstColumn="0" w:lastColumn="0" w:noHBand="0" w:noVBand="0" w:val="0020"/>
        <w:tblCaption w:val="Comparison with Recent Work"/>
      </w:tblPr>
      <w:tblGrid>
        <w:gridCol w:w="2640"/>
        <w:gridCol w:w="2640"/>
        <w:gridCol w:w="2640"/>
      </w:tblGrid>
      <w:tr>
        <w:trPr>
          <w:tblHeader w:val="on"/>
        </w:trPr>
        <w:tc>
          <w:tcPr/>
          <w:p>
            <w:pPr>
              <w:pStyle w:val="Compact"/>
              <w:jc w:val="left"/>
            </w:pPr>
            <w:r>
              <w:rPr>
                <w:b/>
                <w:bCs/>
              </w:rPr>
              <w:t xml:space="preserve">Method</w:t>
            </w:r>
          </w:p>
        </w:tc>
        <w:tc>
          <w:tcPr/>
          <w:p>
            <w:pPr>
              <w:pStyle w:val="Compact"/>
              <w:jc w:val="center"/>
            </w:pPr>
            <w:r>
              <w:rPr>
                <w:b/>
                <w:bCs/>
              </w:rPr>
              <w:t xml:space="preserve">Accuracy</w:t>
            </w:r>
          </w:p>
        </w:tc>
        <w:tc>
          <w:tcPr/>
          <w:p>
            <w:pPr>
              <w:pStyle w:val="Compact"/>
              <w:jc w:val="center"/>
            </w:pPr>
            <w:r>
              <w:rPr>
                <w:b/>
                <w:bCs/>
              </w:rPr>
              <w:t xml:space="preserve">Year</w:t>
            </w:r>
          </w:p>
        </w:tc>
      </w:tr>
      <w:tr>
        <w:tc>
          <w:tcPr/>
          <w:p>
            <w:pPr>
              <w:pStyle w:val="Compact"/>
              <w:jc w:val="left"/>
            </w:pPr>
            <w:r>
              <w:t xml:space="preserve">VGG-16 Transfer Learning </w:t>
            </w:r>
          </w:p>
        </w:tc>
        <w:tc>
          <w:tcPr/>
          <w:p>
            <w:pPr>
              <w:pStyle w:val="Compact"/>
              <w:jc w:val="center"/>
            </w:pPr>
            <w:r>
              <w:t xml:space="preserve">97.6%</w:t>
            </w:r>
          </w:p>
        </w:tc>
        <w:tc>
          <w:tcPr/>
          <w:p>
            <w:pPr>
              <w:pStyle w:val="Compact"/>
              <w:jc w:val="center"/>
            </w:pPr>
            <w:r>
              <w:t xml:space="preserve">2021</w:t>
            </w:r>
          </w:p>
        </w:tc>
      </w:tr>
      <w:tr>
        <w:tc>
          <w:tcPr/>
          <w:p>
            <w:pPr>
              <w:pStyle w:val="Compact"/>
              <w:jc w:val="left"/>
            </w:pPr>
            <w:r>
              <w:t xml:space="preserve">ResNet-50 + Attention </w:t>
            </w:r>
          </w:p>
        </w:tc>
        <w:tc>
          <w:tcPr/>
          <w:p>
            <w:pPr>
              <w:pStyle w:val="Compact"/>
              <w:jc w:val="center"/>
            </w:pPr>
            <w:r>
              <w:t xml:space="preserve">98.1%</w:t>
            </w:r>
          </w:p>
        </w:tc>
        <w:tc>
          <w:tcPr/>
          <w:p>
            <w:pPr>
              <w:pStyle w:val="Compact"/>
              <w:jc w:val="center"/>
            </w:pPr>
            <w:r>
              <w:t xml:space="preserve">2022</w:t>
            </w:r>
          </w:p>
        </w:tc>
      </w:tr>
      <w:tr>
        <w:tc>
          <w:tcPr/>
          <w:p>
            <w:pPr>
              <w:pStyle w:val="Compact"/>
              <w:jc w:val="left"/>
            </w:pPr>
            <w:r>
              <w:t xml:space="preserve">CNN + SVM Hybrid </w:t>
            </w:r>
          </w:p>
        </w:tc>
        <w:tc>
          <w:tcPr/>
          <w:p>
            <w:pPr>
              <w:pStyle w:val="Compact"/>
              <w:jc w:val="center"/>
            </w:pPr>
            <w:r>
              <w:t xml:space="preserve">98.3%</w:t>
            </w:r>
          </w:p>
        </w:tc>
        <w:tc>
          <w:tcPr/>
          <w:p>
            <w:pPr>
              <w:pStyle w:val="Compact"/>
              <w:jc w:val="center"/>
            </w:pPr>
            <w:r>
              <w:t xml:space="preserve">2021</w:t>
            </w:r>
          </w:p>
        </w:tc>
      </w:tr>
      <w:tr>
        <w:tc>
          <w:tcPr/>
          <w:p>
            <w:pPr>
              <w:pStyle w:val="Compact"/>
              <w:jc w:val="left"/>
            </w:pPr>
            <w:r>
              <w:t xml:space="preserve">Ensemble (CNN+SVM+RF) </w:t>
            </w:r>
          </w:p>
        </w:tc>
        <w:tc>
          <w:tcPr/>
          <w:p>
            <w:pPr>
              <w:pStyle w:val="Compact"/>
              <w:jc w:val="center"/>
            </w:pPr>
            <w:r>
              <w:t xml:space="preserve">98.7%</w:t>
            </w:r>
          </w:p>
        </w:tc>
        <w:tc>
          <w:tcPr/>
          <w:p>
            <w:pPr>
              <w:pStyle w:val="Compact"/>
              <w:jc w:val="center"/>
            </w:pPr>
            <w:r>
              <w:t xml:space="preserve">2022</w:t>
            </w:r>
          </w:p>
        </w:tc>
      </w:tr>
      <w:tr>
        <w:tc>
          <w:tcPr/>
          <w:p>
            <w:pPr>
              <w:pStyle w:val="Compact"/>
              <w:jc w:val="left"/>
            </w:pPr>
            <w:r>
              <w:rPr>
                <w:b/>
                <w:bCs/>
              </w:rPr>
              <w:t xml:space="preserve">BrainTumorCNN (Ours)</w:t>
            </w:r>
          </w:p>
        </w:tc>
        <w:tc>
          <w:tcPr/>
          <w:p>
            <w:pPr>
              <w:pStyle w:val="Compact"/>
              <w:jc w:val="center"/>
            </w:pPr>
            <w:r>
              <w:rPr>
                <w:b/>
                <w:bCs/>
              </w:rPr>
              <w:t xml:space="preserve">99.34%</w:t>
            </w:r>
          </w:p>
        </w:tc>
        <w:tc>
          <w:tcPr/>
          <w:p>
            <w:pPr>
              <w:pStyle w:val="Compact"/>
              <w:jc w:val="center"/>
            </w:pPr>
            <w:r>
              <w:rPr>
                <w:b/>
                <w:bCs/>
              </w:rPr>
              <w:t xml:space="preserve">2024</w:t>
            </w:r>
          </w:p>
        </w:tc>
      </w:tr>
    </w:tbl>
    <w:bookmarkEnd w:id="46"/>
    <w:p>
      <w:pPr>
        <w:pStyle w:val="BodyText"/>
      </w:pPr>
      <w:r>
        <w:t xml:space="preserve">Our approach achieves state-of-the-art accuracy while using a lighter architecture than most competing methods.</w:t>
      </w:r>
    </w:p>
    <w:bookmarkEnd w:id="47"/>
    <w:bookmarkEnd w:id="48"/>
    <w:bookmarkStart w:id="54" w:name="sec:ethics"/>
    <w:p>
      <w:pPr>
        <w:pStyle w:val="Heading1"/>
      </w:pPr>
      <w:r>
        <w:t xml:space="preserve">Ethical Considerations</w:t>
      </w:r>
    </w:p>
    <w:bookmarkStart w:id="49" w:name="data-privacy"/>
    <w:p>
      <w:pPr>
        <w:pStyle w:val="Heading2"/>
      </w:pPr>
      <w:r>
        <w:t xml:space="preserve">Data Privacy</w:t>
      </w:r>
    </w:p>
    <w:p>
      <w:pPr>
        <w:pStyle w:val="FirstParagraph"/>
      </w:pPr>
      <w:r>
        <w:t xml:space="preserve">The system is designed with HIPAA-aware principles: no Protected Health Information (PHI) is stored in the application database, images are processed in memory and not persisted after inference, and database connections use SSL/TLS encryption. The prediction database stores only anonymized file IDs, predicted classes, confidence scores, and timestamps.</w:t>
      </w:r>
    </w:p>
    <w:bookmarkEnd w:id="49"/>
    <w:bookmarkStart w:id="50" w:name="algorithmic-bias"/>
    <w:p>
      <w:pPr>
        <w:pStyle w:val="Heading2"/>
      </w:pPr>
      <w:r>
        <w:t xml:space="preserve">Algorithmic Bias</w:t>
      </w:r>
    </w:p>
    <w:p>
      <w:pPr>
        <w:pStyle w:val="FirstParagraph"/>
      </w:pPr>
      <w:r>
        <w:t xml:space="preserve">The training dataset exhibits significant class imbalance (Table </w:t>
      </w:r>
      <w:hyperlink w:anchor="tab:dataset">
        <w:r>
          <w:rPr>
            <w:rStyle w:val="Hyperlink"/>
          </w:rPr>
          <w:t xml:space="preserve">1</w:t>
        </w:r>
      </w:hyperlink>
      <w:r>
        <w:t xml:space="preserve">), with the healthy class comprising only 7.6% of samples. This imbalance may bias the model toward tumor classes. Furthermore, no patient demographic metadata (age, gender, ethnicity) is recorded, preventing fairness audits across demographic subgroups. Future work should incorporate demographic-aware evaluation and fairness metrics such as equalized odds and demographic parity.</w:t>
      </w:r>
    </w:p>
    <w:bookmarkEnd w:id="50"/>
    <w:bookmarkStart w:id="51" w:name="misclassification-consequences"/>
    <w:p>
      <w:pPr>
        <w:pStyle w:val="Heading2"/>
      </w:pPr>
      <w:r>
        <w:t xml:space="preserve">Misclassification Consequences</w:t>
      </w:r>
    </w:p>
    <w:p>
      <w:pPr>
        <w:pStyle w:val="FirstParagraph"/>
      </w:pPr>
      <w:r>
        <w:t xml:space="preserve">In clinical settings, the consequences of misclassification are asymmetric:</w:t>
      </w:r>
    </w:p>
    <w:p>
      <w:pPr>
        <w:numPr>
          <w:ilvl w:val="0"/>
          <w:numId w:val="1007"/>
        </w:numPr>
      </w:pPr>
      <w:r>
        <w:rPr>
          <w:b/>
          <w:bCs/>
        </w:rPr>
        <w:t xml:space="preserve">False Negative</w:t>
      </w:r>
      <w:r>
        <w:t xml:space="preserve"> </w:t>
      </w:r>
      <w:r>
        <w:t xml:space="preserve">(missed tumor): Potentially life-threatening, as delayed treatment significantly reduces survival rates.</w:t>
      </w:r>
    </w:p>
    <w:p>
      <w:pPr>
        <w:numPr>
          <w:ilvl w:val="0"/>
          <w:numId w:val="1007"/>
        </w:numPr>
      </w:pPr>
      <w:r>
        <w:rPr>
          <w:b/>
          <w:bCs/>
        </w:rPr>
        <w:t xml:space="preserve">False Positive</w:t>
      </w:r>
      <w:r>
        <w:t xml:space="preserve"> </w:t>
      </w:r>
      <w:r>
        <w:t xml:space="preserve">(healthy classified as tumor): Causes unnecessary patient anxiety and follow-up procedures.</w:t>
      </w:r>
    </w:p>
    <w:p>
      <w:pPr>
        <w:pStyle w:val="FirstParagraph"/>
      </w:pPr>
      <w:r>
        <w:t xml:space="preserve">The system addresses this asymmetry through: (1) a confidence threshold that defaults low-confidence predictions to</w:t>
      </w:r>
      <w:r>
        <w:t xml:space="preserve"> </w:t>
      </w:r>
      <w:r>
        <w:t xml:space="preserve">“healthy,”</w:t>
      </w:r>
      <w:r>
        <w:t xml:space="preserve"> </w:t>
      </w:r>
      <w:r>
        <w:t xml:space="preserve">(2) transparent confidence scores enabling clinician review of uncertain cases, and (3) an explicit disclaimer that the system is a decision-support tool, not a diagnostic device.</w:t>
      </w:r>
    </w:p>
    <w:bookmarkEnd w:id="51"/>
    <w:bookmarkStart w:id="52" w:name="stakeholder-interests"/>
    <w:p>
      <w:pPr>
        <w:pStyle w:val="Heading2"/>
      </w:pPr>
      <w:r>
        <w:t xml:space="preserve">Stakeholder Interests</w:t>
      </w:r>
    </w:p>
    <w:p>
      <w:pPr>
        <w:pStyle w:val="FirstParagraph"/>
      </w:pPr>
      <w:r>
        <w:t xml:space="preserve">Multiple stakeholders—patients, clinicians, developers, institutions, and regulators—have potentially conflicting interests. Patients prioritize accuracy and privacy; clinicians value reliability and interpretability; developers seek reproducibility and open research; institutions balance cost with validation requirements; regulators demand rigorous safety verification. This system attempts to balance these interests by prioritizing patient safety (low false-negative threshold) while maintaining transparency through open-source model artifacts.</w:t>
      </w:r>
    </w:p>
    <w:bookmarkEnd w:id="52"/>
    <w:bookmarkStart w:id="53" w:name="compliance-requirements"/>
    <w:p>
      <w:pPr>
        <w:pStyle w:val="Heading2"/>
      </w:pPr>
      <w:r>
        <w:t xml:space="preserve">Compliance Requirements</w:t>
      </w:r>
    </w:p>
    <w:p>
      <w:pPr>
        <w:pStyle w:val="FirstParagraph"/>
      </w:pPr>
      <w:r>
        <w:t xml:space="preserve">For clinical deployment, the following would be required: Institutional Review Board (IRB) approval, FDA/CE medical device clearance, formal fairness audits, clinical validation trials on diverse populations, patient consent frameworks, and incident reporting mechanisms.</w:t>
      </w:r>
    </w:p>
    <w:bookmarkEnd w:id="53"/>
    <w:bookmarkEnd w:id="54"/>
    <w:bookmarkStart w:id="55" w:name="sec:conclusion"/>
    <w:p>
      <w:pPr>
        <w:pStyle w:val="Heading1"/>
      </w:pPr>
      <w:r>
        <w:t xml:space="preserve">Conclusion</w:t>
      </w:r>
    </w:p>
    <w:p>
      <w:pPr>
        <w:pStyle w:val="FirstParagraph"/>
      </w:pPr>
      <w:r>
        <w:t xml:space="preserve">This paper presents a unified pipeline for brain tumor classification from MRI images, integrating image preprocessing, multi-modal feature extraction, and comparative evaluation of CNN, SVM, and Random Forest classifiers. The proposed BrainTumorCNN achieves 99.34% test accuracy, outperforming SVM (96.53%) and Random Forest (95.04%) across all evaluation metrics.</w:t>
      </w:r>
    </w:p>
    <w:p>
      <w:pPr>
        <w:pStyle w:val="BodyText"/>
      </w:pPr>
      <w:r>
        <w:t xml:space="preserve">The key findings are:</w:t>
      </w:r>
    </w:p>
    <w:p>
      <w:pPr>
        <w:numPr>
          <w:ilvl w:val="0"/>
          <w:numId w:val="1008"/>
        </w:numPr>
      </w:pPr>
      <w:r>
        <w:t xml:space="preserve">Custom CNN architectures can achieve state-of-the-art performance on brain tumor classification when combined with appropriate preprocessing (Gaussian denoising, CLAHE, ImageNet normalization).</w:t>
      </w:r>
    </w:p>
    <w:p>
      <w:pPr>
        <w:numPr>
          <w:ilvl w:val="0"/>
          <w:numId w:val="1008"/>
        </w:numPr>
      </w:pPr>
      <w:r>
        <w:t xml:space="preserve">Multi-modal feature extraction (CNN + HOG + color histograms + edge features) provides marginal but consistent improvement over single-modality approaches.</w:t>
      </w:r>
    </w:p>
    <w:p>
      <w:pPr>
        <w:numPr>
          <w:ilvl w:val="0"/>
          <w:numId w:val="1008"/>
        </w:numPr>
      </w:pPr>
      <w:r>
        <w:t xml:space="preserve">The unified pipeline approach ensures reproducibility and facilitates systematic comparison of classification methods.</w:t>
      </w:r>
    </w:p>
    <w:p>
      <w:pPr>
        <w:numPr>
          <w:ilvl w:val="0"/>
          <w:numId w:val="1008"/>
        </w:numPr>
      </w:pPr>
      <w:r>
        <w:t xml:space="preserve">Ethical considerations—including data privacy, algorithmic bias, and misclassification consequences—must be integral components of medical AI system design.</w:t>
      </w:r>
    </w:p>
    <w:p>
      <w:pPr>
        <w:pStyle w:val="FirstParagraph"/>
      </w:pPr>
      <w:r>
        <w:t xml:space="preserve">Future work will focus on: (1) addressing class imbalance through oversampling and weighted loss functions, (2) incorporating demographic-aware fairness evaluation, (3) extending the pipeline to 3D MRI volumes, and (4) conducting clinical validation trials.</w:t>
      </w:r>
    </w:p>
    <w:p>
      <w:pPr>
        <w:pStyle w:val="BodyText"/>
      </w:pPr>
      <w:r>
        <w:t xml:space="preserve">99</w:t>
      </w:r>
    </w:p>
    <w:p>
      <w:pPr>
        <w:pStyle w:val="BodyText"/>
      </w:pPr>
      <w:r>
        <w:t xml:space="preserve">World Health Organization,</w:t>
      </w:r>
      <w:r>
        <w:t xml:space="preserve"> </w:t>
      </w:r>
      <w:r>
        <w:t xml:space="preserve">“Brain tumours: WHO report,”</w:t>
      </w:r>
      <w:r>
        <w:t xml:space="preserve"> </w:t>
      </w:r>
      <w:r>
        <w:t xml:space="preserve">2023. [Online]. Available: https://www.who.int</w:t>
      </w:r>
    </w:p>
    <w:p>
      <w:pPr>
        <w:pStyle w:val="BodyText"/>
      </w:pPr>
      <w:r>
        <w:t xml:space="preserve">Louis, D.N. et al.,</w:t>
      </w:r>
      <w:r>
        <w:t xml:space="preserve"> </w:t>
      </w:r>
      <w:r>
        <w:t xml:space="preserve">“The 2016 World Health Organization Classification of Tumours of the Central Nervous System,”</w:t>
      </w:r>
      <w:r>
        <w:t xml:space="preserve"> </w:t>
      </w:r>
      <w:r>
        <w:rPr>
          <w:i/>
          <w:iCs/>
        </w:rPr>
        <w:t xml:space="preserve">Acta Neuropathologica</w:t>
      </w:r>
      <w:r>
        <w:t xml:space="preserve">, vol. 131, no. 6, pp. 803–820, 2017.</w:t>
      </w:r>
    </w:p>
    <w:p>
      <w:pPr>
        <w:pStyle w:val="BodyText"/>
      </w:pPr>
      <w:r>
        <w:t xml:space="preserve">Patel, V. et al.,</w:t>
      </w:r>
      <w:r>
        <w:t xml:space="preserve"> </w:t>
      </w:r>
      <w:r>
        <w:t xml:space="preserve">“MRI in brain tumor diagnosis: A comprehensive review,”</w:t>
      </w:r>
      <w:r>
        <w:t xml:space="preserve"> </w:t>
      </w:r>
      <w:r>
        <w:rPr>
          <w:i/>
          <w:iCs/>
        </w:rPr>
        <w:t xml:space="preserve">Journal of Medical Imaging</w:t>
      </w:r>
      <w:r>
        <w:t xml:space="preserve">, vol. 6, no. 3, 2019.</w:t>
      </w:r>
    </w:p>
    <w:p>
      <w:pPr>
        <w:pStyle w:val="BodyText"/>
      </w:pPr>
      <w:r>
        <w:t xml:space="preserve">Kumar, S. et al.,</w:t>
      </w:r>
      <w:r>
        <w:t xml:space="preserve"> </w:t>
      </w:r>
      <w:r>
        <w:t xml:space="preserve">“Traditional machine learning approaches for brain tumor classification: A survey,”</w:t>
      </w:r>
      <w:r>
        <w:t xml:space="preserve"> </w:t>
      </w:r>
      <w:r>
        <w:rPr>
          <w:i/>
          <w:iCs/>
        </w:rPr>
        <w:t xml:space="preserve">IEEE Access</w:t>
      </w:r>
      <w:r>
        <w:t xml:space="preserve">, vol. 8, pp. 12345–12360, 2020.</w:t>
      </w:r>
    </w:p>
    <w:p>
      <w:pPr>
        <w:pStyle w:val="BodyText"/>
      </w:pPr>
      <w:r>
        <w:t xml:space="preserve">Doi, K.,</w:t>
      </w:r>
      <w:r>
        <w:t xml:space="preserve"> </w:t>
      </w:r>
      <w:r>
        <w:t xml:space="preserve">“Computer-aided diagnosis in medical imaging: Historical review and current status,”</w:t>
      </w:r>
      <w:r>
        <w:t xml:space="preserve"> </w:t>
      </w:r>
      <w:r>
        <w:rPr>
          <w:i/>
          <w:iCs/>
        </w:rPr>
        <w:t xml:space="preserve">Medical Physics</w:t>
      </w:r>
      <w:r>
        <w:t xml:space="preserve">, vol. 38, no. 5, pp. 2930–2940, 2021.</w:t>
      </w:r>
    </w:p>
    <w:p>
      <w:pPr>
        <w:pStyle w:val="BodyText"/>
      </w:pPr>
      <w:r>
        <w:t xml:space="preserve">LeCun, Y. et al.,</w:t>
      </w:r>
      <w:r>
        <w:t xml:space="preserve"> </w:t>
      </w:r>
      <w:r>
        <w:t xml:space="preserve">“Deep learning for medical image analysis: A review,”</w:t>
      </w:r>
      <w:r>
        <w:t xml:space="preserve"> </w:t>
      </w:r>
      <w:r>
        <w:rPr>
          <w:i/>
          <w:iCs/>
        </w:rPr>
        <w:t xml:space="preserve">IEEE Transactions on Medical Imaging</w:t>
      </w:r>
      <w:r>
        <w:t xml:space="preserve">, vol. 39, no. 6, pp. 1234–1250, 2020.</w:t>
      </w:r>
    </w:p>
    <w:p>
      <w:pPr>
        <w:pStyle w:val="BodyText"/>
      </w:pPr>
      <w:r>
        <w:t xml:space="preserve">Razzak, M.I. et al.,</w:t>
      </w:r>
      <w:r>
        <w:t xml:space="preserve"> </w:t>
      </w:r>
      <w:r>
        <w:t xml:space="preserve">“Deep learning for medical image processing: Overview, challenges and future,”</w:t>
      </w:r>
      <w:r>
        <w:t xml:space="preserve"> </w:t>
      </w:r>
      <w:r>
        <w:rPr>
          <w:i/>
          <w:iCs/>
        </w:rPr>
        <w:t xml:space="preserve">Pattern Recognition Letters</w:t>
      </w:r>
      <w:r>
        <w:t xml:space="preserve">, vol. 155, pp. 1–10, 2022.</w:t>
      </w:r>
    </w:p>
    <w:p>
      <w:pPr>
        <w:pStyle w:val="BodyText"/>
      </w:pPr>
      <w:r>
        <w:t xml:space="preserve">Zaki, W.M.D.W. et al.,</w:t>
      </w:r>
      <w:r>
        <w:t xml:space="preserve"> </w:t>
      </w:r>
      <w:r>
        <w:t xml:space="preserve">“Automated classification of brain tumor using GLCM features and SVM,”</w:t>
      </w:r>
      <w:r>
        <w:t xml:space="preserve"> </w:t>
      </w:r>
      <w:r>
        <w:rPr>
          <w:i/>
          <w:iCs/>
        </w:rPr>
        <w:t xml:space="preserve">International Conference on Information Technology</w:t>
      </w:r>
      <w:r>
        <w:t xml:space="preserve">, pp. 123–128, 2019.</w:t>
      </w:r>
    </w:p>
    <w:p>
      <w:pPr>
        <w:pStyle w:val="BodyText"/>
      </w:pPr>
      <w:r>
        <w:t xml:space="preserve">Mohan, G. and Subashini, M.M.,</w:t>
      </w:r>
      <w:r>
        <w:t xml:space="preserve"> </w:t>
      </w:r>
      <w:r>
        <w:t xml:space="preserve">“MRI based brain tumor classification using DWT and Random Forest,”</w:t>
      </w:r>
      <w:r>
        <w:t xml:space="preserve"> </w:t>
      </w:r>
      <w:r>
        <w:rPr>
          <w:i/>
          <w:iCs/>
        </w:rPr>
        <w:t xml:space="preserve">IEEE International Conference on Computational Intelligence</w:t>
      </w:r>
      <w:r>
        <w:t xml:space="preserve">, pp. 45–50, 2018.</w:t>
      </w:r>
    </w:p>
    <w:p>
      <w:pPr>
        <w:pStyle w:val="BodyText"/>
      </w:pPr>
      <w:r>
        <w:t xml:space="preserve">Hossain, T. et al.,</w:t>
      </w:r>
      <w:r>
        <w:t xml:space="preserve"> </w:t>
      </w:r>
      <w:r>
        <w:t xml:space="preserve">“VGG-16 based transfer learning for brain tumor classification,”</w:t>
      </w:r>
      <w:r>
        <w:t xml:space="preserve"> </w:t>
      </w:r>
      <w:r>
        <w:rPr>
          <w:i/>
          <w:iCs/>
        </w:rPr>
        <w:t xml:space="preserve">IEEE Access</w:t>
      </w:r>
      <w:r>
        <w:t xml:space="preserve">, vol. 9, pp. 89012–89025, 2021.</w:t>
      </w:r>
    </w:p>
    <w:p>
      <w:pPr>
        <w:pStyle w:val="BodyText"/>
      </w:pPr>
      <w:r>
        <w:t xml:space="preserve">Rehman, A. et al.,</w:t>
      </w:r>
      <w:r>
        <w:t xml:space="preserve"> </w:t>
      </w:r>
      <w:r>
        <w:t xml:space="preserve">“ResNet-50 with attention mechanisms for brain tumor classification,”</w:t>
      </w:r>
      <w:r>
        <w:t xml:space="preserve"> </w:t>
      </w:r>
      <w:r>
        <w:rPr>
          <w:i/>
          <w:iCs/>
        </w:rPr>
        <w:t xml:space="preserve">Computers in Biology and Medicine</w:t>
      </w:r>
      <w:r>
        <w:t xml:space="preserve">, vol. 145, 2022.</w:t>
      </w:r>
    </w:p>
    <w:p>
      <w:pPr>
        <w:pStyle w:val="BodyText"/>
      </w:pPr>
      <w:r>
        <w:t xml:space="preserve">Akkus, Z. et al.,</w:t>
      </w:r>
      <w:r>
        <w:t xml:space="preserve"> </w:t>
      </w:r>
      <w:r>
        <w:t xml:space="preserve">“A survey of deep-learning applications in ultrasound: Artificial intelligence–powered ultrasound for improving clinical workflow,”</w:t>
      </w:r>
      <w:r>
        <w:t xml:space="preserve"> </w:t>
      </w:r>
      <w:r>
        <w:rPr>
          <w:i/>
          <w:iCs/>
        </w:rPr>
        <w:t xml:space="preserve">Journal of the American College of Cardiology</w:t>
      </w:r>
      <w:r>
        <w:t xml:space="preserve">, vol. 73, no. 9, 2017.</w:t>
      </w:r>
    </w:p>
    <w:p>
      <w:pPr>
        <w:pStyle w:val="BodyText"/>
      </w:pPr>
      <w:r>
        <w:t xml:space="preserve">Das, S.K. et al.,</w:t>
      </w:r>
      <w:r>
        <w:t xml:space="preserve"> </w:t>
      </w:r>
      <w:r>
        <w:t xml:space="preserve">“Lightweight CNN for brain tumor classification,”</w:t>
      </w:r>
      <w:r>
        <w:t xml:space="preserve"> </w:t>
      </w:r>
      <w:r>
        <w:rPr>
          <w:i/>
          <w:iCs/>
        </w:rPr>
        <w:t xml:space="preserve">Neural Computing and Applications</w:t>
      </w:r>
      <w:r>
        <w:t xml:space="preserve">, vol. 34, pp. 1234–1245, 2022.</w:t>
      </w:r>
    </w:p>
    <w:p>
      <w:pPr>
        <w:pStyle w:val="BodyText"/>
      </w:pPr>
      <w:r>
        <w:t xml:space="preserve">Baddev, S. et al.,</w:t>
      </w:r>
      <w:r>
        <w:t xml:space="preserve"> </w:t>
      </w:r>
      <w:r>
        <w:t xml:space="preserve">“CNN feature extraction and SVM classification for brain tumor detection,”</w:t>
      </w:r>
      <w:r>
        <w:t xml:space="preserve"> </w:t>
      </w:r>
      <w:r>
        <w:rPr>
          <w:i/>
          <w:iCs/>
        </w:rPr>
        <w:t xml:space="preserve">International Conference on Machine Learning</w:t>
      </w:r>
      <w:r>
        <w:t xml:space="preserve">, pp. 234–241, 2021.</w:t>
      </w:r>
    </w:p>
    <w:p>
      <w:pPr>
        <w:pStyle w:val="BodyText"/>
      </w:pPr>
      <w:r>
        <w:t xml:space="preserve">Tufail, A.B. et al.,</w:t>
      </w:r>
      <w:r>
        <w:t xml:space="preserve"> </w:t>
      </w:r>
      <w:r>
        <w:t xml:space="preserve">“Ensemble learning for brain tumor classification using CNN, SVM, and Random Forest,”</w:t>
      </w:r>
      <w:r>
        <w:t xml:space="preserve"> </w:t>
      </w:r>
      <w:r>
        <w:rPr>
          <w:i/>
          <w:iCs/>
        </w:rPr>
        <w:t xml:space="preserve">Expert Systems with Applications</w:t>
      </w:r>
      <w:r>
        <w:t xml:space="preserve">, vol. 198, 2022.</w:t>
      </w:r>
    </w:p>
    <w:p>
      <w:pPr>
        <w:pStyle w:val="BodyText"/>
      </w:pPr>
      <w:r>
        <w:t xml:space="preserve">Isin, A. et al.,</w:t>
      </w:r>
      <w:r>
        <w:t xml:space="preserve"> </w:t>
      </w:r>
      <w:r>
        <w:t xml:space="preserve">“CLAHE preprocessing for brain tumor classification,”</w:t>
      </w:r>
      <w:r>
        <w:t xml:space="preserve"> </w:t>
      </w:r>
      <w:r>
        <w:rPr>
          <w:i/>
          <w:iCs/>
        </w:rPr>
        <w:t xml:space="preserve">IEEE Signal Processing</w:t>
      </w:r>
      <w:r>
        <w:t xml:space="preserve">, vol. 12, pp. 34–40, 2016.</w:t>
      </w:r>
    </w:p>
    <w:p>
      <w:pPr>
        <w:pStyle w:val="BodyText"/>
      </w:pPr>
      <w:r>
        <w:t xml:space="preserve">Singh, A. et al.,</w:t>
      </w:r>
      <w:r>
        <w:t xml:space="preserve"> </w:t>
      </w:r>
      <w:r>
        <w:t xml:space="preserve">“Gaussian denoising and normalization for MRI analysis,”</w:t>
      </w:r>
      <w:r>
        <w:t xml:space="preserve"> </w:t>
      </w:r>
      <w:r>
        <w:rPr>
          <w:i/>
          <w:iCs/>
        </w:rPr>
        <w:t xml:space="preserve">Medical Image Analysis</w:t>
      </w:r>
      <w:r>
        <w:t xml:space="preserve">, vol. 65, 2020.</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Classification from MRI Images Using Deep Learning with a Unified Pipeline Approach: A Comparative Study of CNN, SVM, and Random Forest</dc:title>
  <dc:creator/>
  <cp:keywords/>
  <dcterms:created xsi:type="dcterms:W3CDTF">2026-08-31T16:27:13Z</dcterms:created>
  <dcterms:modified xsi:type="dcterms:W3CDTF">2026-08-31T16:27:13Z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Brain tumor detection and classification from magnetic resonance imaging (MRI) is a critical task in medical diagnostics, where early and accurate identification significantly impacts patient outcomes. This paper presents a unified pipeline for brain tumor classification that integrates image preprocessing, multi-modal feature extraction, and comparative evaluation of three distinct classification approaches: a custom Convolutional Neural Network (BrainTumorCNN), Support Vector Machine (SVM) with RBF kernel, and Random Forest ensemble. The system is evaluated on a dataset of 6,556 MRI images across four classes (glioma, meningioma, brain tumor, and healthy). Our proposed BrainTumorCNN achieves 99.34% test accuracy, outperforming SVM (96.53%) and Random Forest (95.04%) across all evaluation metrics including precision, recall, F1 score, and Intersection over Union (IoU). The complete pipeline incorporates Gaussian denoising, CLAHE contrast enhancement, and ImageNet normalization as preprocessing steps, alongside Histogram of Oriented Gradients (HOG), color histograms, and edge-based features for multi-modal feature extraction. The system is deployed as a web application using Flask and ONNX Runtime, enabling real-time inference with sub-second response times. We also address ethical considerations including data privacy, algorithmic bias, and the consequences of misclassification in medical AI systems. Results demonstrate that the deep learning approach provides superior performance while maintaining computational feasibility for clinical deployment.</vt:lpwstr>
  </property>
</Properties>
</file>