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320"/>
        <w:jc w:val="center"/>
      </w:pPr>
      <w:r>
        <w:rPr>
          <w:b/>
          <w:color w:val="C58B20"/>
          <w:sz w:val="22"/>
        </w:rPr>
        <w:t>TREASURY RISK REPORT</w:t>
      </w:r>
    </w:p>
    <w:p>
      <w:pPr>
        <w:pStyle w:val="Title"/>
        <w:jc w:val="center"/>
      </w:pPr>
      <w:r>
        <w:t>Cash Flow Pattern Analysis</w:t>
      </w:r>
    </w:p>
    <w:p>
      <w:pPr>
        <w:pStyle w:val="Subtitle"/>
        <w:jc w:val="center"/>
      </w:pPr>
      <w:r>
        <w:t>Weekly stress, volatility, confidence intervals, and seasonality</w:t>
      </w:r>
    </w:p>
    <w:p>
      <w:pPr>
        <w:jc w:val="center"/>
      </w:pPr>
      <w:r>
        <w:rPr>
          <w:color w:val="5B6770"/>
        </w:rPr>
        <w:t>Module 4 | Historical period: January 2021 - December 2024</w:t>
      </w:r>
    </w:p>
    <w:p/>
    <w:p>
      <w:pPr>
        <w:jc w:val="center"/>
      </w:pPr>
      <w:r>
        <w:rPr>
          <w:b/>
          <w:color w:val="9B1C1C"/>
          <w:sz w:val="22"/>
        </w:rPr>
        <w:t>EXECUTIVE SIGNAL</w:t>
        <w:br/>
      </w:r>
      <w:r>
        <w:rPr>
          <w:sz w:val="24"/>
        </w:rPr>
        <w:t>All 210 weekly aggregates are negative. The analysis therefore ranks relative vulnerability using the bottom decile; the result should be reconciled to bank-settled cash before funding decisions.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Treasury vulnerability is broad rather than isolated: every weekly aggregate is negative. The 21 most severe weeks (bottom 10%) are treated as stress weeks, with the worst week beginning 23 January 2023 at $-121.6 million.</w:t>
      </w:r>
    </w:p>
    <w:p>
      <w:r>
        <w:t>A simple rolling forecast is directionally useful but not decision-grade on its own. Its nominal 95% prediction interval covered 90.9% of one-step observations, below the target, and averaged $53.6 million wide. Executives should use ranges and liquidity scenarios, not point estimates.</w:t>
      </w:r>
    </w:p>
    <w:p>
      <w:r>
        <w:t>No reliable recurring annual seasonality is detected: week-of-year ANOVA p=0.715 and lag-52 autocorrelation=-0.069. May-July have the weakest average profiles, but this does not repeat strongly enough to call a stable seasonal cycle.</w:t>
      </w:r>
    </w:p>
    <w:p>
      <w:pPr>
        <w:pStyle w:val="Heading2"/>
      </w:pPr>
      <w:r>
        <w:t>Decision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2520"/>
            <w:shd w:fill="F2F4F7"/>
            <w:vAlign w:val="center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4608"/>
            <w:shd w:fill="F2F4F7"/>
            <w:vAlign w:val="center"/>
          </w:tcPr>
          <w:p>
            <w:r>
              <w:rPr>
                <w:b/>
                <w:sz w:val="18"/>
              </w:rPr>
              <w:t>Executive interpretation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Weeks analyzed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Complete weekly coverage over the observed period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Relative stress weeks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21 (10%)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Bottom-decile early-warning set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Worst week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23 Jan 2023 | -$121.6m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Largest observed weekly shortfall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95% interval coverage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90.9%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Under target; uncertainty is understated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Average interval width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$53.6m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Material forecast dispersion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8"/>
              </w:rPr>
              <w:t>Annual seasonality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Not supported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Do not rely on fixed annual timing alone</w:t>
            </w:r>
          </w:p>
        </w:tc>
      </w:tr>
    </w:tbl>
    <w:p>
      <w:pPr>
        <w:pStyle w:val="Heading1"/>
      </w:pPr>
      <w:r>
        <w:t>1. Weekly cash flow and central tendency</w:t>
      </w:r>
    </w:p>
    <w:p>
      <w:r>
        <w:t>Weekly cash flow remains below zero throughout the sample. The 13-week rolling mean smooths short-term noise but confirms that the negative pattern is persistent rather than confined to a few outliers.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68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eekly_cash_flow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6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1. Weekly cash flow trend; zero is shown as the risk reference 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684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olling_m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6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2. Weekly cash flow and 13-week rolling mean.</w:t>
      </w:r>
    </w:p>
    <w:p>
      <w:pPr>
        <w:pStyle w:val="Heading1"/>
      </w:pPr>
      <w:r>
        <w:t>2. Volatility and forecast uncertainty</w:t>
      </w:r>
    </w:p>
    <w:p>
      <w:r>
        <w:t>Volatility varies materially over time. The average one-step 95% prediction range is $53.6 million wide. Empirical coverage of 90.9% means roughly 9.1% of realized weeks fell outside the nominal band, so the rolling-normal model is overconfident.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041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olling_standard_devi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41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3. Rolling 13-week cash-flow volatility.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684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idence_interval_ba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6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4. Rolling mean with 95% prediction bands (mean +/- 1.96 standard deviations).</w:t>
      </w:r>
    </w:p>
    <w:p>
      <w:pPr>
        <w:pStyle w:val="Heading1"/>
      </w:pPr>
      <w:r>
        <w:t>3. Treasury stress periods</w:t>
      </w:r>
    </w:p>
    <w:p>
      <w:r>
        <w:t>Because all weekly aggregates are negative, a zero-based shortage flag would label the entire period. For prioritization, stress is defined retrospectively as the lowest 10% of weekly cash flows. This is a relative severity rule, not a solvency test.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vAlign w:val="center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2088"/>
            <w:shd w:fill="F2F4F7"/>
            <w:vAlign w:val="center"/>
          </w:tcPr>
          <w:p>
            <w:r>
              <w:rPr>
                <w:b/>
                <w:sz w:val="18"/>
              </w:rPr>
              <w:t>Week starting</w:t>
            </w:r>
          </w:p>
        </w:tc>
        <w:tc>
          <w:tcPr>
            <w:tcW w:type="dxa" w:w="2160"/>
            <w:shd w:fill="F2F4F7"/>
            <w:vAlign w:val="center"/>
          </w:tcPr>
          <w:p>
            <w:r>
              <w:rPr>
                <w:b/>
                <w:sz w:val="18"/>
              </w:rPr>
              <w:t>Cash flow</w:t>
            </w:r>
          </w:p>
        </w:tc>
        <w:tc>
          <w:tcPr>
            <w:tcW w:type="dxa" w:w="3240"/>
            <w:shd w:fill="F2F4F7"/>
            <w:vAlign w:val="center"/>
          </w:tcPr>
          <w:p>
            <w:r>
              <w:rPr>
                <w:b/>
                <w:sz w:val="18"/>
              </w:rPr>
              <w:t>13-week volatility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23 Jan 2023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$-121.6m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$16.0m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11 Dec 2023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$-109.5m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$14.8m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04 Jul 2022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$-107.7m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$15.7m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17 May 2021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$-106.2m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$16.3m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22 May 2023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$-105.9m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$10.6m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01 Nov 2021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$-105.0m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$13.7m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08 Apr 2024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$-105.0m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$16.0m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18 Sep 2023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$-104.5m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$15.6m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29 May 2023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$-104.4m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$10.5m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03 May 2021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$-102.9m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8"/>
              </w:rPr>
              <w:t>$15.0m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684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easury_stress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68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5. Bottom-decile treasury stress weeks highlighted in red.</w:t>
      </w:r>
    </w:p>
    <w:p>
      <w:pPr>
        <w:pStyle w:val="Heading1"/>
      </w:pPr>
      <w:r>
        <w:t>4. Seasonal pattern analysis</w:t>
      </w:r>
    </w:p>
    <w:p>
      <w:r>
        <w:t>Cash-flow fluctuations do not show convincing annual recurrence. The week-of-year comparison is not statistically significant (p=0.715), while lag-52 correlation is near zero (-0.069). May, June, and July are weakest on average, but the evidence supports monitoring them as watch months rather than treating them as predictable seasonal shortages.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294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asonal_pattern_analy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2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0"/>
          <w:sz w:val="18"/>
        </w:rPr>
        <w:t>Figure 6. Average cash flow by ISO week and calendar month.</w:t>
      </w:r>
    </w:p>
    <w:p>
      <w:pPr>
        <w:pStyle w:val="Heading1"/>
      </w:pPr>
      <w:r>
        <w:t>5. Activities coinciding with shortages</w:t>
      </w:r>
    </w:p>
    <w:p>
      <w:r>
        <w:t>Stress weeks coincide with lower revenue and higher operating, penalty, logistics, and procurement costs. These comparisons are associations and do not establish causality.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fill="F2F4F7"/>
            <w:vAlign w:val="center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088"/>
            <w:shd w:fill="F2F4F7"/>
            <w:vAlign w:val="center"/>
          </w:tcPr>
          <w:p>
            <w:r>
              <w:rPr>
                <w:b/>
                <w:sz w:val="18"/>
              </w:rPr>
              <w:t>Stress difference</w:t>
            </w:r>
          </w:p>
        </w:tc>
        <w:tc>
          <w:tcPr>
            <w:tcW w:type="dxa" w:w="2088"/>
            <w:shd w:fill="F2F4F7"/>
            <w:vAlign w:val="center"/>
          </w:tcPr>
          <w:p>
            <w:r>
              <w:rPr>
                <w:b/>
                <w:sz w:val="18"/>
              </w:rPr>
              <w:t>Normal mean</w:t>
            </w:r>
          </w:p>
        </w:tc>
        <w:tc>
          <w:tcPr>
            <w:tcW w:type="dxa" w:w="2160"/>
            <w:shd w:fill="F2F4F7"/>
            <w:vAlign w:val="center"/>
          </w:tcPr>
          <w:p>
            <w:r>
              <w:rPr>
                <w:b/>
                <w:sz w:val="18"/>
              </w:rPr>
              <w:t>Stress mean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-10.0%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$6.36m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$5.72m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Procurement cost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+2.8%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$2.25m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$2.31m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Logistics cost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+8.1%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$0.14m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$0.15m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Operational cost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+16.0%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$0.15m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$0.17m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SLA penalties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+11.7%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$0.24m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$0.27m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8"/>
              </w:rPr>
              <w:t>Transaction count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+5.3%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8"/>
              </w:rPr>
              <w:t>313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329</w:t>
            </w:r>
          </w:p>
        </w:tc>
      </w:tr>
    </w:tbl>
    <w:p>
      <w:r>
        <w:t>Priority investigation: operational costs (+16.0%), SLA penalties (+11.7%), logistics costs (+8.1%), and revenue (-10.0%) show the largest relevant shifts during stress weeks.</w:t>
      </w:r>
    </w:p>
    <w:p>
      <w:pPr>
        <w:pStyle w:val="Heading1"/>
      </w:pPr>
      <w:r>
        <w:t>6. Executive answers and recommendations</w:t>
      </w:r>
    </w:p>
    <w:p>
      <w:r>
        <w:rPr>
          <w:b/>
        </w:rPr>
        <w:t xml:space="preserve">During which weeks is treasury most vulnerable? </w:t>
      </w:r>
      <w:r>
        <w:t>The bottom-decile weeks in the table and timeline are most vulnerable. The peak observed shortfall is the week of 23 January 2023 at -$121.6 million.</w:t>
      </w:r>
    </w:p>
    <w:p>
      <w:r>
        <w:rPr>
          <w:b/>
        </w:rPr>
        <w:t xml:space="preserve">Are fluctuations seasonal? </w:t>
      </w:r>
      <w:r>
        <w:t>Not reliably. May-July are weak on average, but formal tests do not show stable annual recurrence.</w:t>
      </w:r>
    </w:p>
    <w:p>
      <w:r>
        <w:rPr>
          <w:b/>
        </w:rPr>
        <w:t xml:space="preserve">Which activities coincide with shortages? </w:t>
      </w:r>
      <w:r>
        <w:t>Lower revenue and higher operational costs, SLA penalties, logistics costs, and procurement costs coincide with stress weeks. These are investigation leads, not causal proof.</w:t>
      </w:r>
    </w:p>
    <w:p>
      <w:r>
        <w:rPr>
          <w:b/>
        </w:rPr>
        <w:t xml:space="preserve">How confident can executives be? </w:t>
      </w:r>
      <w:r>
        <w:t>Moderate at best for broad ranges, low for point forecasts. Nominal 95% bands achieved only 90.9% coverage and were $53.6 million wide on average.</w:t>
      </w:r>
    </w:p>
    <w:p>
      <w:pPr>
        <w:pStyle w:val="Heading2"/>
      </w:pPr>
      <w:r>
        <w:t>Recommended controls</w:t>
      </w:r>
    </w:p>
    <w:p>
      <w:pPr>
        <w:pStyle w:val="ListBullet"/>
      </w:pPr>
      <w:r>
        <w:t>Reconcile transaction-level cash_flow_usd to bank-settled movements and opening/closing cash balances.</w:t>
      </w:r>
    </w:p>
    <w:p>
      <w:pPr>
        <w:pStyle w:val="ListBullet"/>
      </w:pPr>
      <w:r>
        <w:t>Use a 13-week rolling forecast with base, downside, and severe-downside liquidity scenarios.</w:t>
      </w:r>
    </w:p>
    <w:p>
      <w:pPr>
        <w:pStyle w:val="ListBullet"/>
      </w:pPr>
      <w:r>
        <w:t>Trigger review when forecast cash enters the historical bottom decile or realized cash breaches the lower prediction band.</w:t>
      </w:r>
    </w:p>
    <w:p>
      <w:pPr>
        <w:pStyle w:val="ListBullet"/>
      </w:pPr>
      <w:r>
        <w:t>Create operating-owner alerts for revenue softness, operational-cost spikes, SLA penalties, and logistics overruns.</w:t>
      </w:r>
    </w:p>
    <w:p>
      <w:pPr>
        <w:pStyle w:val="ListBullet"/>
      </w:pPr>
      <w:r>
        <w:t>Recalibrate interval coverage quarterly; widen buffers if empirical coverage remains below 95%.</w:t>
      </w:r>
    </w:p>
    <w:p>
      <w:pPr>
        <w:pStyle w:val="Heading1"/>
      </w:pPr>
      <w:r>
        <w:t>Methodology and limitations</w:t>
      </w:r>
    </w:p>
    <w:p>
      <w:r>
        <w:t>Records were aggregated into Monday-starting ISO weeks. Rolling mean and sample standard deviation use 13 weeks. The displayed confidence bands are prediction intervals, not confidence intervals for the mean. One-step coverage uses only prior observations. Seasonality was assessed using week-of-year ANOVA, lag-52 autocorrelation, and monthly profiles.</w:t>
      </w:r>
    </w:p>
    <w:p>
      <w:r>
        <w:t>The source does not provide explicit bank reconciliation, payment due dates, opening liquidity, credit-facility availability, or causal event labels. All weekly sums are negative, which may reflect accounting construction or data-quality/sign conventions. The stress rule is retrospective and relative. Operational associations may be confounded by transaction volume and business scale.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Confidential - Internal planning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B7280"/>
        <w:sz w:val="18"/>
      </w:rPr>
      <w:t>TREASURY ANALYTICS | MODULE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20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B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