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320"/>
        <w:jc w:val="center"/>
      </w:pPr>
      <w:r>
        <w:rPr>
          <w:rFonts w:ascii="Calibri" w:hAnsi="Calibri"/>
          <w:b/>
          <w:color w:val="A06A00"/>
          <w:sz w:val="20"/>
        </w:rPr>
        <w:t>TECHNICAL IMPLEMENTATION REPORT</w:t>
      </w:r>
    </w:p>
    <w:p>
      <w:pPr>
        <w:pStyle w:val="Title"/>
        <w:jc w:val="center"/>
      </w:pPr>
      <w:r>
        <w:rPr>
          <w:rFonts w:ascii="Calibri" w:hAnsi="Calibri"/>
          <w:b/>
          <w:color w:val="18324A"/>
          <w:sz w:val="58"/>
        </w:rPr>
        <w:t>RAG Research Papers</w:t>
        <w:br/>
        <w:t>Pipeline Report</w:t>
      </w:r>
    </w:p>
    <w:p>
      <w:pPr>
        <w:pStyle w:val="Subtitle"/>
        <w:jc w:val="center"/>
      </w:pPr>
      <w:r>
        <w:rPr>
          <w:rFonts w:ascii="Calibri" w:hAnsi="Calibri"/>
          <w:color w:val="5B6570"/>
          <w:sz w:val="26"/>
        </w:rPr>
        <w:t>Ingestion, processing and indexing, retrieval, and retrieval evaluation</w:t>
      </w:r>
    </w:p>
    <w:p>
      <w:pPr>
        <w:spacing w:before="400" w:after="1080"/>
        <w:jc w:val="center"/>
      </w:pPr>
      <w:r>
        <w:rPr>
          <w:rFonts w:ascii="Calibri" w:hAnsi="Calibri"/>
          <w:b/>
          <w:color w:val="4E86B4"/>
          <w:sz w:val="20"/>
        </w:rPr>
        <w:t>Code-reviewed implementation snapshot | 3 August 2026</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2F4F7"/>
            <w:vAlign w:val="center"/>
            <w:tcMar>
              <w:top w:w="80" w:type="dxa"/>
              <w:start w:w="120" w:type="dxa"/>
              <w:bottom w:w="80" w:type="dxa"/>
              <w:end w:w="120" w:type="dxa"/>
            </w:tcMar>
          </w:tcPr>
          <w:p>
            <w:pPr>
              <w:spacing w:after="0"/>
            </w:pPr>
            <w:r>
              <w:rPr>
                <w:rFonts w:ascii="Calibri" w:hAnsi="Calibri"/>
                <w:b/>
                <w:color w:val="18324A"/>
              </w:rPr>
              <w:t xml:space="preserve">Report scope: </w:t>
            </w:r>
            <w:r>
              <w:rPr>
                <w:rFonts w:ascii="Calibri" w:hAnsi="Calibri"/>
                <w:color w:val="17212B"/>
              </w:rPr>
              <w:t>Documents the implemented pipeline components, what each component is used for, the effective parameter defaults and why they are sensible, and the libraries directly used by the code. Ingestion is intentionally brief; later stages receive practical implementation detail without line-by-line treatment.</w:t>
            </w:r>
          </w:p>
        </w:tc>
      </w:tr>
    </w:tbl>
    <w:p>
      <w:pPr>
        <w:spacing w:after="40"/>
      </w:pPr>
    </w:p>
    <w:p>
      <w:r>
        <w:br w:type="page"/>
      </w:r>
    </w:p>
    <w:p>
      <w:pPr>
        <w:pStyle w:val="Heading1"/>
        <w:keepNext/>
      </w:pPr>
      <w:r>
        <w:t>Technical summary</w:t>
      </w:r>
    </w:p>
    <w:p>
      <w:pPr>
        <w:keepLines w:val="0"/>
        <w:spacing w:after="120" w:line="264" w:lineRule="auto"/>
      </w:pPr>
      <w:r>
        <w:rPr>
          <w:rFonts w:ascii="Calibri" w:hAnsi="Calibri"/>
          <w:i w:val="0"/>
          <w:color w:val="17212B"/>
        </w:rPr>
        <w:t>The repository implements a traceable RAG data path: discover and normalize research papers, convert them into stable section-aware chunks, build dense and sparse indexes, retrieve with complementary backends, and compare retrieval stages independently from answer generation. The strongest design choice is the separation of retrieval evaluation from the LLM layer, which makes ranking failures diagnosable.</w:t>
      </w:r>
    </w:p>
    <w:p>
      <w:pPr>
        <w:pStyle w:val="ListBullet"/>
        <w:spacing w:after="80" w:line="276" w:lineRule="auto"/>
      </w:pPr>
      <w:r>
        <w:rPr>
          <w:rFonts w:ascii="Calibri" w:hAnsi="Calibri"/>
          <w:color w:val="17212B"/>
        </w:rPr>
        <w:t>Processing uses 512-token section-bounded windows with an 80-token overlap, deterministic UUID5 chunk identities, 384-dimensional MiniLM embeddings, BM25Okapi, and cosine Qdrant vectors.</w:t>
      </w:r>
    </w:p>
    <w:p>
      <w:pPr>
        <w:pStyle w:val="ListBullet"/>
        <w:spacing w:after="80" w:line="276" w:lineRule="auto"/>
      </w:pPr>
      <w:r>
        <w:rPr>
          <w:rFonts w:ascii="Calibri" w:hAnsi="Calibri"/>
          <w:color w:val="17212B"/>
        </w:rPr>
        <w:t>Retrieval uses top-50 dense and sparse candidate pools, RRF with k=60, an MS MARCO MiniLM cross-encoder, and optional MMR with lambda=0.5. Production settings retain 8 reranked chunks, while evaluation retains 20 to calculate Recall@20.</w:t>
      </w:r>
    </w:p>
    <w:p>
      <w:pPr>
        <w:pStyle w:val="ListBullet"/>
        <w:spacing w:after="80" w:line="276" w:lineRule="auto"/>
      </w:pPr>
      <w:r>
        <w:rPr>
          <w:rFonts w:ascii="Calibri" w:hAnsi="Calibri"/>
          <w:color w:val="17212B"/>
        </w:rPr>
        <w:t>Evaluation compares dense, sparse, hybrid RRF, reranked hybrid, and reranked-plus-MMR using Hit, Precision, Recall, MRR, nDCG, and cumulative latency at cutoffs 5, 8, and 20.</w:t>
      </w:r>
    </w:p>
    <w:p>
      <w:pPr>
        <w:pStyle w:val="ListBullet"/>
        <w:spacing w:after="80" w:line="276" w:lineRule="auto"/>
      </w:pPr>
      <w:r>
        <w:rPr>
          <w:rFonts w:ascii="Calibri" w:hAnsi="Calibri"/>
          <w:color w:val="17212B"/>
        </w:rPr>
        <w:t>Three alignment issues should be resolved before a clean production run: Qdrant collection-name defaults differ, an older architecture note overstates overlap as 50%, and benchmark labels still support paper-level fallback when chunk review is incomplete.</w:t>
      </w:r>
    </w:p>
    <w:p>
      <w:pPr>
        <w:pStyle w:val="Heading1"/>
        <w:keepNext/>
      </w:pPr>
      <w:r>
        <w:t>End-to-end pipeline map</w:t>
      </w:r>
    </w:p>
    <w:tbl>
      <w:tblPr>
        <w:tblStyle w:val="TableGrid"/>
        <w:tblW w:type="dxa" w:w="9360"/>
        <w:jc w:val="left"/>
        <w:tblLayout w:type="fixed"/>
        <w:tblLook w:firstColumn="1" w:firstRow="1" w:lastColumn="0" w:lastRow="0" w:noHBand="0" w:noVBand="1" w:val="04A0"/>
        <w:tblInd w:w="120" w:type="dxa"/>
      </w:tblPr>
      <w:tblGrid>
        <w:gridCol w:w="1350"/>
        <w:gridCol w:w="2350"/>
        <w:gridCol w:w="3300"/>
        <w:gridCol w:w="2360"/>
      </w:tblGrid>
      <w:tr>
        <w:trPr>
          <w:tblHeader w:val="true"/>
          <w:cantSplit w:val="true"/>
        </w:trPr>
        <w:tc>
          <w:tcPr>
            <w:tcW w:type="dxa" w:w="13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Stage</w:t>
            </w:r>
          </w:p>
        </w:tc>
        <w:tc>
          <w:tcPr>
            <w:tcW w:type="dxa" w:w="23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Primary input</w:t>
            </w:r>
          </w:p>
        </w:tc>
        <w:tc>
          <w:tcPr>
            <w:tcW w:type="dxa" w:w="33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Main transformation</w:t>
            </w:r>
          </w:p>
        </w:tc>
        <w:tc>
          <w:tcPr>
            <w:tcW w:type="dxa" w:w="236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Primary output</w:t>
            </w:r>
          </w:p>
        </w:tc>
      </w:tr>
      <w:tr>
        <w:trPr>
          <w:cantSplit w:val="true"/>
        </w:trPr>
        <w:tc>
          <w:tcPr>
            <w:tcW w:type="dxa" w:w="1350"/>
            <w:vAlign w:val="center"/>
            <w:tcMar>
              <w:top w:w="80" w:type="dxa"/>
              <w:start w:w="120" w:type="dxa"/>
              <w:bottom w:w="80" w:type="dxa"/>
              <w:end w:w="120" w:type="dxa"/>
            </w:tcMar>
          </w:tcPr>
          <w:p>
            <w:pPr>
              <w:spacing w:before="0" w:after="0" w:line="259" w:lineRule="auto"/>
            </w:pPr>
            <w:r/>
            <w:r>
              <w:rPr>
                <w:rFonts w:ascii="Calibri" w:hAnsi="Calibri"/>
                <w:b w:val="0"/>
                <w:color w:val="17212B"/>
                <w:sz w:val="18"/>
              </w:rPr>
              <w:t>Ingestion</w:t>
            </w:r>
          </w:p>
        </w:tc>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8"/>
              </w:rPr>
              <w:t>Research query / selected papers</w:t>
            </w:r>
          </w:p>
        </w:tc>
        <w:tc>
          <w:tcPr>
            <w:tcW w:type="dxa" w:w="3300"/>
            <w:vAlign w:val="center"/>
            <w:tcMar>
              <w:top w:w="80" w:type="dxa"/>
              <w:start w:w="120" w:type="dxa"/>
              <w:bottom w:w="80" w:type="dxa"/>
              <w:end w:w="120" w:type="dxa"/>
            </w:tcMar>
          </w:tcPr>
          <w:p>
            <w:pPr>
              <w:spacing w:before="0" w:after="0" w:line="259" w:lineRule="auto"/>
            </w:pPr>
            <w:r/>
            <w:r>
              <w:rPr>
                <w:rFonts w:ascii="Calibri" w:hAnsi="Calibri"/>
                <w:b w:val="0"/>
                <w:color w:val="17212B"/>
                <w:sz w:val="18"/>
              </w:rPr>
              <w:t>Discover, download, parse, section, clean, enrich</w:t>
            </w:r>
          </w:p>
        </w:tc>
        <w:tc>
          <w:tcPr>
            <w:tcW w:type="dxa" w:w="2360"/>
            <w:vAlign w:val="center"/>
            <w:tcMar>
              <w:top w:w="80" w:type="dxa"/>
              <w:start w:w="120" w:type="dxa"/>
              <w:bottom w:w="80" w:type="dxa"/>
              <w:end w:w="120" w:type="dxa"/>
            </w:tcMar>
          </w:tcPr>
          <w:p>
            <w:pPr>
              <w:spacing w:before="0" w:after="0" w:line="259" w:lineRule="auto"/>
            </w:pPr>
            <w:r/>
            <w:r>
              <w:rPr>
                <w:rFonts w:ascii="Calibri" w:hAnsi="Calibri"/>
                <w:b w:val="0"/>
                <w:color w:val="17212B"/>
                <w:sz w:val="18"/>
              </w:rPr>
              <w:t>One processed JSON per paper + registry</w:t>
            </w:r>
          </w:p>
        </w:tc>
      </w:tr>
      <w:tr>
        <w:trPr>
          <w:cantSplit w:val="true"/>
        </w:trPr>
        <w:tc>
          <w:tcPr>
            <w:tcW w:type="dxa" w:w="1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Processing</w:t>
            </w:r>
          </w:p>
        </w:tc>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Processed paper JSON</w:t>
            </w:r>
          </w:p>
        </w:tc>
        <w:tc>
          <w:tcPr>
            <w:tcW w:type="dxa" w:w="3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Chunk, tag, embed, build sparse/dense indexes</w:t>
            </w:r>
          </w:p>
        </w:tc>
        <w:tc>
          <w:tcPr>
            <w:tcW w:type="dxa" w:w="23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BM25 artifact + Qdrant points</w:t>
            </w:r>
          </w:p>
        </w:tc>
      </w:tr>
      <w:tr>
        <w:trPr>
          <w:cantSplit w:val="true"/>
        </w:trPr>
        <w:tc>
          <w:tcPr>
            <w:tcW w:type="dxa" w:w="1350"/>
            <w:vAlign w:val="center"/>
            <w:tcMar>
              <w:top w:w="80" w:type="dxa"/>
              <w:start w:w="120" w:type="dxa"/>
              <w:bottom w:w="80" w:type="dxa"/>
              <w:end w:w="120" w:type="dxa"/>
            </w:tcMar>
          </w:tcPr>
          <w:p>
            <w:pPr>
              <w:spacing w:before="0" w:after="0" w:line="259" w:lineRule="auto"/>
            </w:pPr>
            <w:r/>
            <w:r>
              <w:rPr>
                <w:rFonts w:ascii="Calibri" w:hAnsi="Calibri"/>
                <w:b w:val="0"/>
                <w:color w:val="17212B"/>
                <w:sz w:val="18"/>
              </w:rPr>
              <w:t>Retrieval</w:t>
            </w:r>
          </w:p>
        </w:tc>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8"/>
              </w:rPr>
              <w:t>User query + optional filters</w:t>
            </w:r>
          </w:p>
        </w:tc>
        <w:tc>
          <w:tcPr>
            <w:tcW w:type="dxa" w:w="3300"/>
            <w:vAlign w:val="center"/>
            <w:tcMar>
              <w:top w:w="80" w:type="dxa"/>
              <w:start w:w="120" w:type="dxa"/>
              <w:bottom w:w="80" w:type="dxa"/>
              <w:end w:w="120" w:type="dxa"/>
            </w:tcMar>
          </w:tcPr>
          <w:p>
            <w:pPr>
              <w:spacing w:before="0" w:after="0" w:line="259" w:lineRule="auto"/>
            </w:pPr>
            <w:r/>
            <w:r>
              <w:rPr>
                <w:rFonts w:ascii="Calibri" w:hAnsi="Calibri"/>
                <w:b w:val="0"/>
                <w:color w:val="17212B"/>
                <w:sz w:val="18"/>
              </w:rPr>
              <w:t>Clean, dense/sparse search, fuse, rerank, diversify</w:t>
            </w:r>
          </w:p>
        </w:tc>
        <w:tc>
          <w:tcPr>
            <w:tcW w:type="dxa" w:w="2360"/>
            <w:vAlign w:val="center"/>
            <w:tcMar>
              <w:top w:w="80" w:type="dxa"/>
              <w:start w:w="120" w:type="dxa"/>
              <w:bottom w:w="80" w:type="dxa"/>
              <w:end w:w="120" w:type="dxa"/>
            </w:tcMar>
          </w:tcPr>
          <w:p>
            <w:pPr>
              <w:spacing w:before="0" w:after="0" w:line="259" w:lineRule="auto"/>
            </w:pPr>
            <w:r/>
            <w:r>
              <w:rPr>
                <w:rFonts w:ascii="Calibri" w:hAnsi="Calibri"/>
                <w:b w:val="0"/>
                <w:color w:val="17212B"/>
                <w:sz w:val="18"/>
              </w:rPr>
              <w:t>Ranked RetrievalResult chunks</w:t>
            </w:r>
          </w:p>
        </w:tc>
      </w:tr>
      <w:tr>
        <w:trPr>
          <w:cantSplit w:val="true"/>
        </w:trPr>
        <w:tc>
          <w:tcPr>
            <w:tcW w:type="dxa" w:w="1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Evaluation</w:t>
            </w:r>
          </w:p>
        </w:tc>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Golden questions + relevance labels</w:t>
            </w:r>
          </w:p>
        </w:tc>
        <w:tc>
          <w:tcPr>
            <w:tcW w:type="dxa" w:w="3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Run stage ablations and score rankings</w:t>
            </w:r>
          </w:p>
        </w:tc>
        <w:tc>
          <w:tcPr>
            <w:tcW w:type="dxa" w:w="23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8"/>
              </w:rPr>
              <w:t>JSON/CSV/Markdown metrics + ranking cache</w:t>
            </w:r>
          </w:p>
        </w:tc>
      </w:tr>
    </w:tbl>
    <w:p>
      <w:pPr>
        <w:spacing w:after="40"/>
      </w:pPr>
    </w:p>
    <w:p>
      <w:pPr>
        <w:pStyle w:val="Heading1"/>
        <w:keepNext/>
      </w:pPr>
      <w:r>
        <w:t>1. Ingestion pipeline - only the essentials</w:t>
      </w:r>
    </w:p>
    <w:p>
      <w:pPr>
        <w:keepLines w:val="0"/>
        <w:spacing w:after="120" w:line="264" w:lineRule="auto"/>
      </w:pPr>
      <w:r>
        <w:rPr>
          <w:rFonts w:ascii="Calibri" w:hAnsi="Calibri"/>
          <w:i w:val="0"/>
          <w:color w:val="17212B"/>
        </w:rPr>
        <w:t>The ingestion pipeline creates a recoverable, auditable paper corpus. It is resumable at the paper level, retains raw page text and detected sections, deduplicates arXiv versions by canonical identity, and writes processed JSON atomically.</w:t>
      </w:r>
    </w:p>
    <w:tbl>
      <w:tblPr>
        <w:tblStyle w:val="TableGrid"/>
        <w:tblW w:type="dxa" w:w="9360"/>
        <w:jc w:val="left"/>
        <w:tblLayout w:type="fixed"/>
        <w:tblLook w:firstColumn="1" w:firstRow="1" w:lastColumn="0" w:lastRow="0" w:noHBand="0" w:noVBand="1" w:val="04A0"/>
        <w:tblInd w:w="120" w:type="dxa"/>
      </w:tblPr>
      <w:tblGrid>
        <w:gridCol w:w="1600"/>
        <w:gridCol w:w="2700"/>
        <w:gridCol w:w="3500"/>
        <w:gridCol w:w="1560"/>
      </w:tblGrid>
      <w:tr>
        <w:trPr>
          <w:tblHeader w:val="true"/>
          <w:cantSplit w:val="true"/>
        </w:trPr>
        <w:tc>
          <w:tcPr>
            <w:tcW w:type="dxa" w:w="16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Component</w:t>
            </w:r>
          </w:p>
        </w:tc>
        <w:tc>
          <w:tcPr>
            <w:tcW w:type="dxa" w:w="27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Use</w:t>
            </w:r>
          </w:p>
        </w:tc>
        <w:tc>
          <w:tcPr>
            <w:tcW w:type="dxa" w:w="35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Key values / behavior</w:t>
            </w:r>
          </w:p>
        </w:tc>
        <w:tc>
          <w:tcPr>
            <w:tcW w:type="dxa" w:w="156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Direct libraries</w:t>
            </w:r>
          </w:p>
        </w:tc>
      </w:tr>
      <w:tr>
        <w:trPr>
          <w:cantSplit w:val="true"/>
        </w:trPr>
        <w:tc>
          <w:tcPr>
            <w:tcW w:type="dxa" w:w="1600"/>
            <w:vAlign w:val="center"/>
            <w:tcMar>
              <w:top w:w="80" w:type="dxa"/>
              <w:start w:w="120" w:type="dxa"/>
              <w:bottom w:w="80" w:type="dxa"/>
              <w:end w:w="120" w:type="dxa"/>
            </w:tcMar>
          </w:tcPr>
          <w:p>
            <w:pPr>
              <w:spacing w:before="0" w:after="0" w:line="259" w:lineRule="auto"/>
            </w:pPr>
            <w:r/>
            <w:r>
              <w:rPr>
                <w:rFonts w:ascii="Calibri" w:hAnsi="Calibri"/>
                <w:b w:val="0"/>
                <w:color w:val="17212B"/>
                <w:sz w:val="16"/>
              </w:rPr>
              <w:t>Paper discovery</w:t>
            </w:r>
          </w:p>
        </w:tc>
        <w:tc>
          <w:tcPr>
            <w:tcW w:type="dxa" w:w="2700"/>
            <w:vAlign w:val="center"/>
            <w:tcMar>
              <w:top w:w="80" w:type="dxa"/>
              <w:start w:w="120" w:type="dxa"/>
              <w:bottom w:w="80" w:type="dxa"/>
              <w:end w:w="120" w:type="dxa"/>
            </w:tcMar>
          </w:tcPr>
          <w:p>
            <w:pPr>
              <w:spacing w:before="0" w:after="0" w:line="259" w:lineRule="auto"/>
            </w:pPr>
            <w:r/>
            <w:r>
              <w:rPr>
                <w:rFonts w:ascii="Calibri" w:hAnsi="Calibri"/>
                <w:b w:val="0"/>
                <w:color w:val="17212B"/>
                <w:sz w:val="16"/>
              </w:rPr>
              <w:t>Find candidate papers and normalize them into one Paper schema.</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17212B"/>
                <w:sz w:val="16"/>
              </w:rPr>
              <w:t>provider='auto'; max_results=50; arXiv sorts by relevance descending; API page_size=100, delay=3 s, retries=3.</w:t>
            </w:r>
          </w:p>
        </w:tc>
        <w:tc>
          <w:tcPr>
            <w:tcW w:type="dxa" w:w="1560"/>
            <w:vAlign w:val="center"/>
            <w:tcMar>
              <w:top w:w="80" w:type="dxa"/>
              <w:start w:w="120" w:type="dxa"/>
              <w:bottom w:w="80" w:type="dxa"/>
              <w:end w:w="120" w:type="dxa"/>
            </w:tcMar>
          </w:tcPr>
          <w:p>
            <w:pPr>
              <w:spacing w:before="0" w:after="0" w:line="259" w:lineRule="auto"/>
            </w:pPr>
            <w:r/>
            <w:r>
              <w:rPr>
                <w:rFonts w:ascii="Calibri" w:hAnsi="Calibri"/>
                <w:b w:val="0"/>
                <w:color w:val="17212B"/>
                <w:sz w:val="16"/>
              </w:rPr>
              <w:t>arxiv, httpx, python-dotenv</w:t>
            </w:r>
          </w:p>
        </w:tc>
      </w:tr>
      <w:tr>
        <w:trPr>
          <w:cantSplit w:val="true"/>
        </w:trPr>
        <w:tc>
          <w:tcPr>
            <w:tcW w:type="dxa" w:w="16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Corpus registry</w:t>
            </w:r>
          </w:p>
        </w:tc>
        <w:tc>
          <w:tcPr>
            <w:tcW w:type="dxa" w:w="27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Checkpoint discovery and track discovered -&gt; downloaded -&gt; processed -&gt; indexed states.</w:t>
            </w:r>
          </w:p>
        </w:tc>
        <w:tc>
          <w:tcPr>
            <w:tcW w:type="dxa" w:w="35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SQLite timeout=30 s; WAL mode; canonical arXiv ID removes version; resume=False by default.</w:t>
            </w:r>
          </w:p>
        </w:tc>
        <w:tc>
          <w:tcPr>
            <w:tcW w:type="dxa" w:w="15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sqlite3, json</w:t>
            </w:r>
          </w:p>
        </w:tc>
      </w:tr>
      <w:tr>
        <w:trPr>
          <w:cantSplit w:val="true"/>
        </w:trPr>
        <w:tc>
          <w:tcPr>
            <w:tcW w:type="dxa" w:w="1600"/>
            <w:vAlign w:val="center"/>
            <w:tcMar>
              <w:top w:w="80" w:type="dxa"/>
              <w:start w:w="120" w:type="dxa"/>
              <w:bottom w:w="80" w:type="dxa"/>
              <w:end w:w="120" w:type="dxa"/>
            </w:tcMar>
          </w:tcPr>
          <w:p>
            <w:pPr>
              <w:spacing w:before="0" w:after="0" w:line="259" w:lineRule="auto"/>
            </w:pPr>
            <w:r/>
            <w:r>
              <w:rPr>
                <w:rFonts w:ascii="Calibri" w:hAnsi="Calibri"/>
                <w:b w:val="0"/>
                <w:color w:val="17212B"/>
                <w:sz w:val="16"/>
              </w:rPr>
              <w:t>PDF downloader</w:t>
            </w:r>
          </w:p>
        </w:tc>
        <w:tc>
          <w:tcPr>
            <w:tcW w:type="dxa" w:w="2700"/>
            <w:vAlign w:val="center"/>
            <w:tcMar>
              <w:top w:w="80" w:type="dxa"/>
              <w:start w:w="120" w:type="dxa"/>
              <w:bottom w:w="80" w:type="dxa"/>
              <w:end w:w="120" w:type="dxa"/>
            </w:tcMar>
          </w:tcPr>
          <w:p>
            <w:pPr>
              <w:spacing w:before="0" w:after="0" w:line="259" w:lineRule="auto"/>
            </w:pPr>
            <w:r/>
            <w:r>
              <w:rPr>
                <w:rFonts w:ascii="Calibri" w:hAnsi="Calibri"/>
                <w:b w:val="0"/>
                <w:color w:val="17212B"/>
                <w:sz w:val="16"/>
              </w:rPr>
              <w:t>Download one validated PDF per canonical paper and safely retry transient failures.</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17212B"/>
                <w:sz w:val="16"/>
              </w:rPr>
              <w:t>timeout=60 s; overwrite=False; max_attempts=4; exponential backoff starts at 1 s; HTTP 429/408/425/5xx retry.</w:t>
            </w:r>
          </w:p>
        </w:tc>
        <w:tc>
          <w:tcPr>
            <w:tcW w:type="dxa" w:w="1560"/>
            <w:vAlign w:val="center"/>
            <w:tcMar>
              <w:top w:w="80" w:type="dxa"/>
              <w:start w:w="120" w:type="dxa"/>
              <w:bottom w:w="80" w:type="dxa"/>
              <w:end w:w="120" w:type="dxa"/>
            </w:tcMar>
          </w:tcPr>
          <w:p>
            <w:pPr>
              <w:spacing w:before="0" w:after="0" w:line="259" w:lineRule="auto"/>
            </w:pPr>
            <w:r/>
            <w:r>
              <w:rPr>
                <w:rFonts w:ascii="Calibri" w:hAnsi="Calibri"/>
                <w:b w:val="0"/>
                <w:color w:val="17212B"/>
                <w:sz w:val="16"/>
              </w:rPr>
              <w:t>httpx, PyMuPDF/fitz</w:t>
            </w:r>
          </w:p>
        </w:tc>
      </w:tr>
      <w:tr>
        <w:trPr>
          <w:cantSplit w:val="true"/>
        </w:trPr>
        <w:tc>
          <w:tcPr>
            <w:tcW w:type="dxa" w:w="16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PDF parser and section detector</w:t>
            </w:r>
          </w:p>
        </w:tc>
        <w:tc>
          <w:tcPr>
            <w:tcW w:type="dxa" w:w="27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Extract page text, map headings to scientific sections, and retain diagnostics and page spans.</w:t>
            </w:r>
          </w:p>
        </w:tc>
        <w:tc>
          <w:tcPr>
            <w:tcW w:type="dxa" w:w="35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PyMuPDF text mode; headings limited to 100 characters / 12 words; unclassified content retained.</w:t>
            </w:r>
          </w:p>
        </w:tc>
        <w:tc>
          <w:tcPr>
            <w:tcW w:type="dxa" w:w="15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PyMuPDF, re</w:t>
            </w:r>
          </w:p>
        </w:tc>
      </w:tr>
      <w:tr>
        <w:trPr>
          <w:cantSplit w:val="true"/>
        </w:trPr>
        <w:tc>
          <w:tcPr>
            <w:tcW w:type="dxa" w:w="16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Cleaner, metadata, citations</w:t>
            </w:r>
          </w:p>
        </w:tc>
        <w:tc>
          <w:tcPr>
            <w:tcW w:type="dxa" w:w="2700"/>
            <w:vAlign w:val="center"/>
            <w:tcMar>
              <w:top w:w="80" w:type="dxa"/>
              <w:start w:w="120" w:type="dxa"/>
              <w:bottom w:w="80" w:type="dxa"/>
              <w:end w:w="120" w:type="dxa"/>
            </w:tcMar>
          </w:tcPr>
          <w:p>
            <w:pPr>
              <w:spacing w:before="0" w:after="0" w:line="259" w:lineRule="auto"/>
            </w:pPr>
            <w:r/>
            <w:r>
              <w:rPr>
                <w:rFonts w:ascii="Calibri" w:hAnsi="Calibri"/>
                <w:b w:val="0"/>
                <w:color w:val="17212B"/>
                <w:sz w:val="16"/>
              </w:rPr>
              <w:t>Normalize extraction artifacts; preserve title/authors/year/categories/DOI; parse bibliography entries.</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Repeated lines need &gt;=3 occurrences; DOI/arXiv/URL/year signals drive citation confidence; outputs are JSON-safe.</w:t>
            </w:r>
          </w:p>
        </w:tc>
        <w:tc>
          <w:tcPr>
            <w:tcW w:type="dxa" w:w="156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 hashlib, dataclasses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E8EEF5"/>
            <w:vAlign w:val="center"/>
            <w:tcMar>
              <w:top w:w="80" w:type="dxa"/>
              <w:start w:w="120" w:type="dxa"/>
              <w:bottom w:w="80" w:type="dxa"/>
              <w:end w:w="120" w:type="dxa"/>
            </w:tcMar>
          </w:tcPr>
          <w:p>
            <w:pPr>
              <w:spacing w:after="0"/>
            </w:pPr>
            <w:r>
              <w:rPr>
                <w:rFonts w:ascii="Calibri" w:hAnsi="Calibri"/>
                <w:b/>
                <w:color w:val="2E74B5"/>
              </w:rPr>
              <w:t xml:space="preserve">Why these choices: </w:t>
            </w:r>
            <w:r>
              <w:rPr>
                <w:rFonts w:ascii="Calibri" w:hAnsi="Calibri"/>
                <w:color w:val="17212B"/>
              </w:rPr>
              <w:t>The rate-limited discovery client and four-attempt downloader are conservative for public scholarly APIs; canonical IDs and SQLite checkpoints make reruns idempotent; atomic .tmp replacement prevents partially written processed files.</w:t>
            </w:r>
          </w:p>
        </w:tc>
      </w:tr>
    </w:tbl>
    <w:p>
      <w:pPr>
        <w:spacing w:after="40"/>
      </w:pPr>
    </w:p>
    <w:p>
      <w:pPr>
        <w:spacing w:before="40" w:after="160"/>
      </w:pPr>
      <w:r>
        <w:rPr>
          <w:rFonts w:ascii="Calibri" w:hAnsi="Calibri"/>
          <w:b/>
          <w:color w:val="5B6570"/>
          <w:sz w:val="17"/>
        </w:rPr>
        <w:t xml:space="preserve">Implementation sources: </w:t>
      </w:r>
      <w:r>
        <w:rPr>
          <w:rFonts w:ascii="Calibri" w:hAnsi="Calibri"/>
          <w:i/>
          <w:color w:val="5B6570"/>
          <w:sz w:val="17"/>
        </w:rPr>
        <w:t>ingestion/pipeline.py, ingestion/arxiv_scraper.py, ingestion/pdf_downloader.py, ingestion/pdf_parser.py, ingestion/section_detector.py, ingestion/corpus_registry.py</w:t>
      </w:r>
    </w:p>
    <w:p>
      <w:pPr>
        <w:pStyle w:val="Heading1"/>
        <w:keepNext/>
      </w:pPr>
      <w:r>
        <w:t>2. Processing and indexing pipeline</w:t>
      </w:r>
    </w:p>
    <w:p>
      <w:pPr>
        <w:keepLines w:val="0"/>
        <w:spacing w:after="120" w:line="264" w:lineRule="auto"/>
      </w:pPr>
      <w:r>
        <w:rPr>
          <w:rFonts w:ascii="Calibri" w:hAnsi="Calibri"/>
          <w:i w:val="0"/>
          <w:color w:val="17212B"/>
        </w:rPr>
        <w:t>Processing preserves section provenance while producing two complementary search representations: semantic vectors for paraphrases and BM25 term statistics for exact technical language. Metadata tagging keeps filters stable across both indexes.</w:t>
      </w:r>
    </w:p>
    <w:p>
      <w:pPr>
        <w:pStyle w:val="Heading2"/>
        <w:keepNext/>
      </w:pPr>
      <w:r>
        <w:t>Components and their uses</w:t>
      </w:r>
    </w:p>
    <w:tbl>
      <w:tblPr>
        <w:tblStyle w:val="TableGrid"/>
        <w:tblW w:type="dxa" w:w="9360"/>
        <w:jc w:val="left"/>
        <w:tblLayout w:type="fixed"/>
        <w:tblLook w:firstColumn="1" w:firstRow="1" w:lastColumn="0" w:lastRow="0" w:noHBand="0" w:noVBand="1" w:val="04A0"/>
        <w:tblInd w:w="120" w:type="dxa"/>
      </w:tblPr>
      <w:tblGrid>
        <w:gridCol w:w="1750"/>
        <w:gridCol w:w="4000"/>
        <w:gridCol w:w="3610"/>
      </w:tblGrid>
      <w:tr>
        <w:trPr>
          <w:tblHeader w:val="true"/>
          <w:cantSplit w:val="true"/>
        </w:trPr>
        <w:tc>
          <w:tcPr>
            <w:tcW w:type="dxa" w:w="17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Component</w:t>
            </w:r>
          </w:p>
        </w:tc>
        <w:tc>
          <w:tcPr>
            <w:tcW w:type="dxa" w:w="40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What it does</w:t>
            </w:r>
          </w:p>
        </w:tc>
        <w:tc>
          <w:tcPr>
            <w:tcW w:type="dxa" w:w="361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Why it is used</w:t>
            </w:r>
          </w:p>
        </w:tc>
      </w:tr>
      <w:tr>
        <w:trPr>
          <w:cantSplit w:val="true"/>
        </w:trPr>
        <w:tc>
          <w:tcPr>
            <w:tcW w:type="dxa" w:w="1750"/>
            <w:vAlign w:val="center"/>
            <w:tcMar>
              <w:top w:w="80" w:type="dxa"/>
              <w:start w:w="120" w:type="dxa"/>
              <w:bottom w:w="80" w:type="dxa"/>
              <w:end w:w="120" w:type="dxa"/>
            </w:tcMar>
          </w:tcPr>
          <w:p>
            <w:pPr>
              <w:spacing w:before="0" w:after="0" w:line="259" w:lineRule="auto"/>
            </w:pPr>
            <w:r/>
            <w:r>
              <w:rPr>
                <w:rFonts w:ascii="Calibri" w:hAnsi="Calibri"/>
                <w:b w:val="0"/>
                <w:color w:val="17212B"/>
                <w:sz w:val="17"/>
              </w:rPr>
              <w:t>Section-aware chunker</w:t>
            </w:r>
          </w:p>
        </w:tc>
        <w:tc>
          <w:tcPr>
            <w:tcW w:type="dxa" w:w="4000"/>
            <w:vAlign w:val="center"/>
            <w:tcMar>
              <w:top w:w="80" w:type="dxa"/>
              <w:start w:w="120" w:type="dxa"/>
              <w:bottom w:w="80" w:type="dxa"/>
              <w:end w:w="120" w:type="dxa"/>
            </w:tcMar>
          </w:tcPr>
          <w:p>
            <w:pPr>
              <w:spacing w:before="0" w:after="0" w:line="259" w:lineRule="auto"/>
            </w:pPr>
            <w:r/>
            <w:r>
              <w:rPr>
                <w:rFonts w:ascii="Calibri" w:hAnsi="Calibri"/>
                <w:b w:val="0"/>
                <w:color w:val="17212B"/>
                <w:sz w:val="17"/>
              </w:rPr>
              <w:t>Chunks each detected section independently, preferring paragraph or sentence boundaries and preserving character offsets.</w:t>
            </w:r>
          </w:p>
        </w:tc>
        <w:tc>
          <w:tcPr>
            <w:tcW w:type="dxa" w:w="3610"/>
            <w:vAlign w:val="center"/>
            <w:tcMar>
              <w:top w:w="80" w:type="dxa"/>
              <w:start w:w="120" w:type="dxa"/>
              <w:bottom w:w="80" w:type="dxa"/>
              <w:end w:w="120" w:type="dxa"/>
            </w:tcMar>
          </w:tcPr>
          <w:p>
            <w:pPr>
              <w:spacing w:before="0" w:after="0" w:line="259" w:lineRule="auto"/>
            </w:pPr>
            <w:r/>
            <w:r>
              <w:rPr>
                <w:rFonts w:ascii="Calibri" w:hAnsi="Calibri"/>
                <w:b w:val="0"/>
                <w:color w:val="17212B"/>
                <w:sz w:val="17"/>
              </w:rPr>
              <w:t>Prevents unrelated sections from being mixed, supports exact source tracing, and bounds embedding/prompt cost.</w:t>
            </w:r>
          </w:p>
        </w:tc>
      </w:tr>
      <w:tr>
        <w:trPr>
          <w:cantSplit w:val="true"/>
        </w:trPr>
        <w:tc>
          <w:tcPr>
            <w:tcW w:type="dxa" w:w="17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Metadata tagger</w:t>
            </w:r>
          </w:p>
        </w:tc>
        <w:tc>
          <w:tcPr>
            <w:tcW w:type="dxa" w:w="40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Normalizes JSON-safe metadata, slugifies section names, groups sections into families, and normalizes year/authors/categories/keywords.</w:t>
            </w:r>
          </w:p>
        </w:tc>
        <w:tc>
          <w:tcPr>
            <w:tcW w:type="dxa" w:w="36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Makes dense and sparse payload filters predictable.</w:t>
            </w:r>
          </w:p>
        </w:tc>
      </w:tr>
      <w:tr>
        <w:trPr>
          <w:cantSplit w:val="true"/>
        </w:trPr>
        <w:tc>
          <w:tcPr>
            <w:tcW w:type="dxa" w:w="1750"/>
            <w:vAlign w:val="center"/>
            <w:tcMar>
              <w:top w:w="80" w:type="dxa"/>
              <w:start w:w="120" w:type="dxa"/>
              <w:bottom w:w="80" w:type="dxa"/>
              <w:end w:w="120" w:type="dxa"/>
            </w:tcMar>
          </w:tcPr>
          <w:p>
            <w:pPr>
              <w:spacing w:before="0" w:after="0" w:line="259" w:lineRule="auto"/>
            </w:pPr>
            <w:r/>
            <w:r>
              <w:rPr>
                <w:rFonts w:ascii="Calibri" w:hAnsi="Calibri"/>
                <w:b w:val="0"/>
                <w:color w:val="17212B"/>
                <w:sz w:val="17"/>
              </w:rPr>
              <w:t>Embedder</w:t>
            </w:r>
          </w:p>
        </w:tc>
        <w:tc>
          <w:tcPr>
            <w:tcW w:type="dxa" w:w="4000"/>
            <w:vAlign w:val="center"/>
            <w:tcMar>
              <w:top w:w="80" w:type="dxa"/>
              <w:start w:w="120" w:type="dxa"/>
              <w:bottom w:w="80" w:type="dxa"/>
              <w:end w:w="120" w:type="dxa"/>
            </w:tcMar>
          </w:tcPr>
          <w:p>
            <w:pPr>
              <w:spacing w:before="0" w:after="0" w:line="259" w:lineRule="auto"/>
            </w:pPr>
            <w:r/>
            <w:r>
              <w:rPr>
                <w:rFonts w:ascii="Calibri" w:hAnsi="Calibri"/>
                <w:b w:val="0"/>
                <w:color w:val="17212B"/>
                <w:sz w:val="17"/>
              </w:rPr>
              <w:t>Encodes non-empty chunk text with all-MiniLM-L6-v2 and returns NumPy-backed vectors as JSON-ready lists.</w:t>
            </w:r>
          </w:p>
        </w:tc>
        <w:tc>
          <w:tcPr>
            <w:tcW w:type="dxa" w:w="3610"/>
            <w:vAlign w:val="center"/>
            <w:tcMar>
              <w:top w:w="80" w:type="dxa"/>
              <w:start w:w="120" w:type="dxa"/>
              <w:bottom w:w="80" w:type="dxa"/>
              <w:end w:w="120" w:type="dxa"/>
            </w:tcMar>
          </w:tcPr>
          <w:p>
            <w:pPr>
              <w:spacing w:before="0" w:after="0" w:line="259" w:lineRule="auto"/>
            </w:pPr>
            <w:r/>
            <w:r>
              <w:rPr>
                <w:rFonts w:ascii="Calibri" w:hAnsi="Calibri"/>
                <w:b w:val="0"/>
                <w:color w:val="17212B"/>
                <w:sz w:val="17"/>
              </w:rPr>
              <w:t>Provides compact semantic similarity with a widely used 384-dimensional sentence model.</w:t>
            </w:r>
          </w:p>
        </w:tc>
      </w:tr>
      <w:tr>
        <w:trPr>
          <w:cantSplit w:val="true"/>
        </w:trPr>
        <w:tc>
          <w:tcPr>
            <w:tcW w:type="dxa" w:w="17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BM25 indexer</w:t>
            </w:r>
          </w:p>
        </w:tc>
        <w:tc>
          <w:tcPr>
            <w:tcW w:type="dxa" w:w="40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Tokenizes technical terms, builds BM25Okapi, maps scores back to chunks, and persists corpus plus preprocessing contract.</w:t>
            </w:r>
          </w:p>
        </w:tc>
        <w:tc>
          <w:tcPr>
            <w:tcW w:type="dxa" w:w="36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Captures exact terms such as model names, acronyms, hyphenated tokens, and numeric versions.</w:t>
            </w:r>
          </w:p>
        </w:tc>
      </w:tr>
      <w:tr>
        <w:trPr>
          <w:cantSplit w:val="true"/>
        </w:trPr>
        <w:tc>
          <w:tcPr>
            <w:tcW w:type="dxa" w:w="1750"/>
            <w:vAlign w:val="center"/>
            <w:tcMar>
              <w:top w:w="80" w:type="dxa"/>
              <w:start w:w="120" w:type="dxa"/>
              <w:bottom w:w="80" w:type="dxa"/>
              <w:end w:w="120" w:type="dxa"/>
            </w:tcMar>
          </w:tcPr>
          <w:p>
            <w:pPr>
              <w:spacing w:before="0" w:after="0" w:line="259" w:lineRule="auto"/>
            </w:pPr>
            <w:r/>
            <w:r>
              <w:rPr>
                <w:rFonts w:ascii="Calibri" w:hAnsi="Calibri"/>
                <w:b w:val="0"/>
                <w:color w:val="17212B"/>
                <w:sz w:val="17"/>
              </w:rPr>
              <w:t>Qdrant indexer</w:t>
            </w:r>
          </w:p>
        </w:tc>
        <w:tc>
          <w:tcPr>
            <w:tcW w:type="dxa" w:w="4000"/>
            <w:vAlign w:val="center"/>
            <w:tcMar>
              <w:top w:w="80" w:type="dxa"/>
              <w:start w:w="120" w:type="dxa"/>
              <w:bottom w:w="80" w:type="dxa"/>
              <w:end w:w="120" w:type="dxa"/>
            </w:tcMar>
          </w:tcPr>
          <w:p>
            <w:pPr>
              <w:spacing w:before="0" w:after="0" w:line="259" w:lineRule="auto"/>
            </w:pPr>
            <w:r/>
            <w:r>
              <w:rPr>
                <w:rFonts w:ascii="Calibri" w:hAnsi="Calibri"/>
                <w:b w:val="0"/>
                <w:color w:val="17212B"/>
                <w:sz w:val="17"/>
              </w:rPr>
              <w:t>Creates a vector collection, validates dimensions, batches PointStruct upserts, and retains full payloads.</w:t>
            </w:r>
          </w:p>
        </w:tc>
        <w:tc>
          <w:tcPr>
            <w:tcW w:type="dxa" w:w="3610"/>
            <w:vAlign w:val="center"/>
            <w:tcMar>
              <w:top w:w="80" w:type="dxa"/>
              <w:start w:w="120" w:type="dxa"/>
              <w:bottom w:w="80" w:type="dxa"/>
              <w:end w:w="120" w:type="dxa"/>
            </w:tcMar>
          </w:tcPr>
          <w:p>
            <w:pPr>
              <w:spacing w:before="0" w:after="0" w:line="259" w:lineRule="auto"/>
            </w:pPr>
            <w:r/>
            <w:r>
              <w:rPr>
                <w:rFonts w:ascii="Calibri" w:hAnsi="Calibri"/>
                <w:b w:val="0"/>
                <w:color w:val="17212B"/>
                <w:sz w:val="17"/>
              </w:rPr>
              <w:t>Supports fast cosine search and server-side metadata filters.</w:t>
            </w:r>
          </w:p>
        </w:tc>
      </w:tr>
      <w:tr>
        <w:trPr>
          <w:cantSplit w:val="true"/>
        </w:trPr>
        <w:tc>
          <w:tcPr>
            <w:tcW w:type="dxa" w:w="17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Processing pipeline</w:t>
            </w:r>
          </w:p>
        </w:tc>
        <w:tc>
          <w:tcPr>
            <w:tcW w:type="dxa" w:w="40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Runs chunk -&gt; metadata tag -&gt; BM25 -&gt; embed -&gt; optional Qdrant indexing.</w:t>
            </w:r>
          </w:p>
        </w:tc>
        <w:tc>
          <w:tcPr>
            <w:tcW w:type="dxa" w:w="36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Provides one orchestration boundary for local files or in-memory documents.</w:t>
            </w:r>
          </w:p>
        </w:tc>
      </w:tr>
    </w:tbl>
    <w:p>
      <w:pPr>
        <w:spacing w:after="40"/>
      </w:pPr>
    </w:p>
    <w:p>
      <w:pPr>
        <w:pStyle w:val="Heading2"/>
        <w:keepNext/>
      </w:pPr>
      <w:r>
        <w:t>Parameter values and rationale</w:t>
      </w:r>
    </w:p>
    <w:tbl>
      <w:tblPr>
        <w:tblStyle w:val="TableGrid"/>
        <w:tblW w:type="dxa" w:w="9360"/>
        <w:jc w:val="left"/>
        <w:tblLayout w:type="fixed"/>
        <w:tblLook w:firstColumn="1" w:firstRow="1" w:lastColumn="0" w:lastRow="0" w:noHBand="0" w:noVBand="1" w:val="04A0"/>
        <w:tblInd w:w="120" w:type="dxa"/>
      </w:tblPr>
      <w:tblGrid>
        <w:gridCol w:w="1800"/>
        <w:gridCol w:w="2100"/>
        <w:gridCol w:w="5460"/>
      </w:tblGrid>
      <w:tr>
        <w:trPr>
          <w:tblHeader w:val="true"/>
          <w:cantSplit w:val="true"/>
        </w:trPr>
        <w:tc>
          <w:tcPr>
            <w:tcW w:type="dxa" w:w="18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Parameter</w:t>
            </w:r>
          </w:p>
        </w:tc>
        <w:tc>
          <w:tcPr>
            <w:tcW w:type="dxa" w:w="21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Implemented value</w:t>
            </w:r>
          </w:p>
        </w:tc>
        <w:tc>
          <w:tcPr>
            <w:tcW w:type="dxa" w:w="546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Purpose and choice rationale</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max_tokens</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512</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Large enough for a coherent research-paper passage, while bounded for MiniLM encoding and downstream prompt assembly.</w:t>
            </w:r>
          </w:p>
        </w:tc>
      </w:tr>
      <w:tr>
        <w:trPr>
          <w:cantSplit w:val="true"/>
        </w:trPr>
        <w:tc>
          <w:tcPr>
            <w:tcW w:type="dxa" w:w="18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overlap_tokens</w:t>
            </w:r>
          </w:p>
        </w:tc>
        <w:tc>
          <w:tcPr>
            <w:tcW w:type="dxa" w:w="21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80 (15.6% of 512)</w:t>
            </w:r>
          </w:p>
        </w:tc>
        <w:tc>
          <w:tcPr>
            <w:tcW w:type="dxa" w:w="54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Retains context around boundary cuts without the storage and near-duplicate cost of a 50% overlap.</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min_tokens</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40</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Natural-boundary search does not cut extremely early; short sections are still retained as separate labelled chunks.</w:t>
            </w:r>
          </w:p>
        </w:tc>
      </w:tr>
      <w:tr>
        <w:trPr>
          <w:cantSplit w:val="true"/>
        </w:trPr>
        <w:tc>
          <w:tcPr>
            <w:tcW w:type="dxa" w:w="18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encoding_name</w:t>
            </w:r>
          </w:p>
        </w:tc>
        <w:tc>
          <w:tcPr>
            <w:tcW w:type="dxa" w:w="21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cl100k_base</w:t>
            </w:r>
          </w:p>
        </w:tc>
        <w:tc>
          <w:tcPr>
            <w:tcW w:type="dxa" w:w="54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Uses OpenAI-compatible token accounting when tiktoken is present; falls back to a dependency-free regex tokenizer.</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chunk_id</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UUID5 of paper, section, offsets, text</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Deterministic identity allows repeatable indexing and duplicate prevention.</w:t>
            </w:r>
          </w:p>
        </w:tc>
      </w:tr>
      <w:tr>
        <w:trPr>
          <w:cantSplit w:val="true"/>
        </w:trPr>
        <w:tc>
          <w:tcPr>
            <w:tcW w:type="dxa" w:w="18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embedding model</w:t>
            </w:r>
          </w:p>
        </w:tc>
        <w:tc>
          <w:tcPr>
            <w:tcW w:type="dxa" w:w="21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sentence-transformers/all-MiniLM-L6-v2</w:t>
            </w:r>
          </w:p>
        </w:tc>
        <w:tc>
          <w:tcPr>
            <w:tcW w:type="dxa" w:w="54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Balances retrieval quality, speed, and a compact 384-dimensional vector; the same model must encode documents and queries.</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encode options</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convert_to_numpy=True; show_progress_bar=False</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Produces predictable numeric arrays and keeps library calls quiet inside a pipeline.</w:t>
            </w:r>
          </w:p>
        </w:tc>
      </w:tr>
      <w:tr>
        <w:trPr>
          <w:cantSplit w:val="true"/>
        </w:trPr>
        <w:tc>
          <w:tcPr>
            <w:tcW w:type="dxa" w:w="18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BM25 tokenizer</w:t>
            </w:r>
          </w:p>
        </w:tc>
        <w:tc>
          <w:tcPr>
            <w:tcW w:type="dxa" w:w="21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technical_terms_v2; lowercase=True; stop-word removal=False</w:t>
            </w:r>
          </w:p>
        </w:tc>
        <w:tc>
          <w:tcPr>
            <w:tcW w:type="dxa" w:w="54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Preserves dots, hyphens, #, C++, and decimals; avoids an unimplemented stop-word contract and keeps scientific terms searchable.</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Qdrant distance</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cosine</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Matches sentence-embedding similarity; dense retrieval explicitly rejects a non-cosine collection.</w:t>
            </w:r>
          </w:p>
        </w:tc>
      </w:tr>
      <w:tr>
        <w:trPr>
          <w:cantSplit w:val="true"/>
        </w:trPr>
        <w:tc>
          <w:tcPr>
            <w:tcW w:type="dxa" w:w="18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Qdrant batch_size</w:t>
            </w:r>
          </w:p>
        </w:tc>
        <w:tc>
          <w:tcPr>
            <w:tcW w:type="dxa" w:w="21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128</w:t>
            </w:r>
          </w:p>
        </w:tc>
        <w:tc>
          <w:tcPr>
            <w:tcW w:type="dxa" w:w="54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Bounds request size while keeping indexing efficient; every batch waits for acknowledged persistence.</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collection_name</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research_papers in Qdrant indexer</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Local constructor default only. Application settings and evaluation use ai_papers; standardize this before deployment.</w:t>
            </w:r>
          </w:p>
        </w:tc>
      </w:tr>
      <w:tr>
        <w:trPr>
          <w:cantSplit w:val="true"/>
        </w:trPr>
        <w:tc>
          <w:tcPr>
            <w:tcW w:type="dxa" w:w="18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index_dense</w:t>
            </w:r>
          </w:p>
        </w:tc>
        <w:tc>
          <w:tcPr>
            <w:tcW w:type="dxa" w:w="21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True</w:t>
            </w:r>
          </w:p>
        </w:tc>
        <w:tc>
          <w:tcPr>
            <w:tcW w:type="dxa" w:w="54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Build embeddings by default so the result is hybrid-ready; can be disabled for lightweight BM25-only processing.</w:t>
            </w:r>
          </w:p>
        </w:tc>
      </w:tr>
      <w:tr>
        <w:trPr>
          <w:cantSplit w:val="true"/>
        </w:trP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recreate_qdrant</w:t>
            </w:r>
          </w:p>
        </w:tc>
        <w:tc>
          <w:tcPr>
            <w:tcW w:type="dxa" w:w="2100"/>
            <w:vAlign w:val="center"/>
            <w:tcMar>
              <w:top w:w="80" w:type="dxa"/>
              <w:start w:w="120" w:type="dxa"/>
              <w:bottom w:w="80" w:type="dxa"/>
              <w:end w:w="120" w:type="dxa"/>
            </w:tcMar>
          </w:tcPr>
          <w:p>
            <w:pPr>
              <w:spacing w:before="0" w:after="0" w:line="259" w:lineRule="auto"/>
            </w:pPr>
            <w:r/>
            <w:r>
              <w:rPr>
                <w:rFonts w:ascii="Calibri" w:hAnsi="Calibri"/>
                <w:b w:val="0"/>
                <w:color w:val="17212B"/>
                <w:sz w:val="16"/>
              </w:rPr>
              <w:t>False</w:t>
            </w:r>
          </w:p>
        </w:tc>
        <w:tc>
          <w:tcPr>
            <w:tcW w:type="dxa" w:w="5460"/>
            <w:vAlign w:val="center"/>
            <w:tcMar>
              <w:top w:w="80" w:type="dxa"/>
              <w:start w:w="120" w:type="dxa"/>
              <w:bottom w:w="80" w:type="dxa"/>
              <w:end w:w="120" w:type="dxa"/>
            </w:tcMar>
          </w:tcPr>
          <w:p>
            <w:pPr>
              <w:spacing w:before="0" w:after="0" w:line="259" w:lineRule="auto"/>
            </w:pPr>
            <w:r/>
            <w:r>
              <w:rPr>
                <w:rFonts w:ascii="Calibri" w:hAnsi="Calibri"/>
                <w:b w:val="0"/>
                <w:color w:val="17212B"/>
                <w:sz w:val="16"/>
              </w:rPr>
              <w:t>Avoids destructive collection rebuilds in ordinary incremental runs.</w:t>
            </w:r>
          </w:p>
        </w:tc>
      </w:tr>
    </w:tbl>
    <w:p>
      <w:pPr>
        <w:spacing w:after="40"/>
      </w:pPr>
    </w:p>
    <w:p>
      <w:pPr>
        <w:spacing w:before="40" w:after="160"/>
      </w:pPr>
      <w:r>
        <w:rPr>
          <w:rFonts w:ascii="Calibri" w:hAnsi="Calibri"/>
          <w:b/>
          <w:color w:val="5B6570"/>
          <w:sz w:val="17"/>
        </w:rPr>
        <w:t xml:space="preserve">Implementation sources: </w:t>
      </w:r>
      <w:r>
        <w:rPr>
          <w:rFonts w:ascii="Calibri" w:hAnsi="Calibri"/>
          <w:i/>
          <w:color w:val="5B6570"/>
          <w:sz w:val="17"/>
        </w:rPr>
        <w:t>processing/chunker.py, processing/metadata_tagger.py, processing/embedder.py, processing/bm25_indexer.py, processing/qdrant_indexer.py, processing/pipeline.py, config/settings.py</w:t>
      </w:r>
    </w:p>
    <w:p>
      <w:pPr>
        <w:pStyle w:val="Heading1"/>
        <w:keepNext/>
      </w:pPr>
      <w:r>
        <w:t>3. Retrieval pipeline</w:t>
      </w:r>
    </w:p>
    <w:p>
      <w:pPr>
        <w:keepLines w:val="0"/>
        <w:spacing w:after="120" w:line="264" w:lineRule="auto"/>
      </w:pPr>
      <w:r>
        <w:rPr>
          <w:rFonts w:ascii="Calibri" w:hAnsi="Calibri"/>
          <w:i w:val="0"/>
          <w:color w:val="17212B"/>
        </w:rPr>
        <w:t>The retrieval stack deliberately avoids comparing incompatible raw cosine and BM25 scores. It retrieves broad candidate pools independently, fuses rank positions with RRF, then uses a query-passage cross-encoder for precision and MMR only when diversity is desired.</w:t>
      </w:r>
    </w:p>
    <w:p>
      <w:pPr>
        <w:pStyle w:val="Heading2"/>
        <w:keepNext/>
      </w:pPr>
      <w:r>
        <w:t>Components and their uses</w:t>
      </w:r>
    </w:p>
    <w:tbl>
      <w:tblPr>
        <w:tblStyle w:val="TableGrid"/>
        <w:tblW w:type="dxa" w:w="9360"/>
        <w:jc w:val="left"/>
        <w:tblLayout w:type="fixed"/>
        <w:tblLook w:firstColumn="1" w:firstRow="1" w:lastColumn="0" w:lastRow="0" w:noHBand="0" w:noVBand="1" w:val="04A0"/>
        <w:tblInd w:w="120" w:type="dxa"/>
      </w:tblPr>
      <w:tblGrid>
        <w:gridCol w:w="1850"/>
        <w:gridCol w:w="3680"/>
        <w:gridCol w:w="3830"/>
      </w:tblGrid>
      <w:tr>
        <w:trPr>
          <w:tblHeader w:val="true"/>
          <w:cantSplit w:val="true"/>
        </w:trPr>
        <w:tc>
          <w:tcPr>
            <w:tcW w:type="dxa" w:w="18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Component</w:t>
            </w:r>
          </w:p>
        </w:tc>
        <w:tc>
          <w:tcPr>
            <w:tcW w:type="dxa" w:w="368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Use</w:t>
            </w:r>
          </w:p>
        </w:tc>
        <w:tc>
          <w:tcPr>
            <w:tcW w:type="dxa" w:w="383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Important behavior</w:t>
            </w:r>
          </w:p>
        </w:tc>
      </w:tr>
      <w:tr>
        <w:trPr>
          <w:cantSplit w:val="true"/>
        </w:trPr>
        <w:tc>
          <w:tcPr>
            <w:tcW w:type="dxa" w:w="1850"/>
            <w:vAlign w:val="center"/>
            <w:tcMar>
              <w:top w:w="80" w:type="dxa"/>
              <w:start w:w="120" w:type="dxa"/>
              <w:bottom w:w="80" w:type="dxa"/>
              <w:end w:w="120" w:type="dxa"/>
            </w:tcMar>
          </w:tcPr>
          <w:p>
            <w:pPr>
              <w:spacing w:before="0" w:after="0" w:line="259" w:lineRule="auto"/>
            </w:pPr>
            <w:r/>
            <w:r>
              <w:rPr>
                <w:rFonts w:ascii="Calibri" w:hAnsi="Calibri"/>
                <w:b w:val="0"/>
                <w:color w:val="17212B"/>
                <w:sz w:val="17"/>
              </w:rPr>
              <w:t>Query processor</w:t>
            </w:r>
          </w:p>
        </w:tc>
        <w:tc>
          <w:tcPr>
            <w:tcW w:type="dxa" w:w="3680"/>
            <w:vAlign w:val="center"/>
            <w:tcMar>
              <w:top w:w="80" w:type="dxa"/>
              <w:start w:w="120" w:type="dxa"/>
              <w:bottom w:w="80" w:type="dxa"/>
              <w:end w:w="120" w:type="dxa"/>
            </w:tcMar>
          </w:tcPr>
          <w:p>
            <w:pPr>
              <w:spacing w:before="0" w:after="0" w:line="259" w:lineRule="auto"/>
            </w:pPr>
            <w:r/>
            <w:r>
              <w:rPr>
                <w:rFonts w:ascii="Calibri" w:hAnsi="Calibri"/>
                <w:b w:val="0"/>
                <w:color w:val="17212B"/>
                <w:sz w:val="17"/>
              </w:rPr>
              <w:t>Normalize Unicode/whitespace, create dense text and BM25 tokens, optionally expand a bounded dictionary.</w:t>
            </w:r>
          </w:p>
        </w:tc>
        <w:tc>
          <w:tcPr>
            <w:tcW w:type="dxa" w:w="3830"/>
            <w:vAlign w:val="center"/>
            <w:tcMar>
              <w:top w:w="80" w:type="dxa"/>
              <w:start w:w="120" w:type="dxa"/>
              <w:bottom w:w="80" w:type="dxa"/>
              <w:end w:w="120" w:type="dxa"/>
            </w:tcMar>
          </w:tcPr>
          <w:p>
            <w:pPr>
              <w:spacing w:before="0" w:after="0" w:line="259" w:lineRule="auto"/>
            </w:pPr>
            <w:r/>
            <w:r>
              <w:rPr>
                <w:rFonts w:ascii="Calibri" w:hAnsi="Calibri"/>
                <w:b w:val="0"/>
                <w:color w:val="17212B"/>
                <w:sz w:val="17"/>
              </w:rPr>
              <w:t>Expansion defaults off; preserves technical tokens and shares the BM25 preprocessing contract.</w:t>
            </w:r>
          </w:p>
        </w:tc>
      </w:tr>
      <w:tr>
        <w:trPr>
          <w:cantSplit w:val="true"/>
        </w:trPr>
        <w:tc>
          <w:tcPr>
            <w:tcW w:type="dxa" w:w="18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Dense retriever</w:t>
            </w:r>
          </w:p>
        </w:tc>
        <w:tc>
          <w:tcPr>
            <w:tcW w:type="dxa" w:w="368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Embed the query and search Qdrant with exact, membership, or numeric-range filters.</w:t>
            </w:r>
          </w:p>
        </w:tc>
        <w:tc>
          <w:tcPr>
            <w:tcW w:type="dxa" w:w="383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Runs health, cosine-distance, dimension, and empty-collection checks before search.</w:t>
            </w:r>
          </w:p>
        </w:tc>
      </w:tr>
      <w:tr>
        <w:trPr>
          <w:cantSplit w:val="true"/>
        </w:trPr>
        <w:tc>
          <w:tcPr>
            <w:tcW w:type="dxa" w:w="1850"/>
            <w:vAlign w:val="center"/>
            <w:tcMar>
              <w:top w:w="80" w:type="dxa"/>
              <w:start w:w="120" w:type="dxa"/>
              <w:bottom w:w="80" w:type="dxa"/>
              <w:end w:w="120" w:type="dxa"/>
            </w:tcMar>
          </w:tcPr>
          <w:p>
            <w:pPr>
              <w:spacing w:before="0" w:after="0" w:line="259" w:lineRule="auto"/>
            </w:pPr>
            <w:r/>
            <w:r>
              <w:rPr>
                <w:rFonts w:ascii="Calibri" w:hAnsi="Calibri"/>
                <w:b w:val="0"/>
                <w:color w:val="17212B"/>
                <w:sz w:val="17"/>
              </w:rPr>
              <w:t>Sparse retriever</w:t>
            </w:r>
          </w:p>
        </w:tc>
        <w:tc>
          <w:tcPr>
            <w:tcW w:type="dxa" w:w="3680"/>
            <w:vAlign w:val="center"/>
            <w:tcMar>
              <w:top w:w="80" w:type="dxa"/>
              <w:start w:w="120" w:type="dxa"/>
              <w:bottom w:w="80" w:type="dxa"/>
              <w:end w:w="120" w:type="dxa"/>
            </w:tcMar>
          </w:tcPr>
          <w:p>
            <w:pPr>
              <w:spacing w:before="0" w:after="0" w:line="259" w:lineRule="auto"/>
            </w:pPr>
            <w:r/>
            <w:r>
              <w:rPr>
                <w:rFonts w:ascii="Calibri" w:hAnsi="Calibri"/>
                <w:b w:val="0"/>
                <w:color w:val="17212B"/>
                <w:sz w:val="17"/>
              </w:rPr>
              <w:t>Load a trusted local BM25 pickle, score tokens, filter all candidates, then select top k.</w:t>
            </w:r>
          </w:p>
        </w:tc>
        <w:tc>
          <w:tcPr>
            <w:tcW w:type="dxa" w:w="3830"/>
            <w:vAlign w:val="center"/>
            <w:tcMar>
              <w:top w:w="80" w:type="dxa"/>
              <w:start w:w="120" w:type="dxa"/>
              <w:bottom w:w="80" w:type="dxa"/>
              <w:end w:w="120" w:type="dxa"/>
            </w:tcMar>
          </w:tcPr>
          <w:p>
            <w:pPr>
              <w:spacing w:before="0" w:after="0" w:line="259" w:lineRule="auto"/>
            </w:pPr>
            <w:r/>
            <w:r>
              <w:rPr>
                <w:rFonts w:ascii="Calibri" w:hAnsi="Calibri"/>
                <w:b w:val="0"/>
                <w:color w:val="17212B"/>
                <w:sz w:val="17"/>
              </w:rPr>
              <w:t>Validates corpus-to-chunk mapping; never load untrusted pickle files.</w:t>
            </w:r>
          </w:p>
        </w:tc>
      </w:tr>
      <w:tr>
        <w:trPr>
          <w:cantSplit w:val="true"/>
        </w:trPr>
        <w:tc>
          <w:tcPr>
            <w:tcW w:type="dxa" w:w="18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Hybrid retriever</w:t>
            </w:r>
          </w:p>
        </w:tc>
        <w:tc>
          <w:tcPr>
            <w:tcW w:type="dxa" w:w="368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Fuse dense and sparse rankings with reciprocal rank fusion.</w:t>
            </w:r>
          </w:p>
        </w:tc>
        <w:tc>
          <w:tcPr>
            <w:tcW w:type="dxa" w:w="383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Deduplicates within each ranking and uses deterministic tie-breaking.</w:t>
            </w:r>
          </w:p>
        </w:tc>
      </w:tr>
      <w:tr>
        <w:trPr>
          <w:cantSplit w:val="true"/>
        </w:trPr>
        <w:tc>
          <w:tcPr>
            <w:tcW w:type="dxa" w:w="1850"/>
            <w:vAlign w:val="center"/>
            <w:tcMar>
              <w:top w:w="80" w:type="dxa"/>
              <w:start w:w="120" w:type="dxa"/>
              <w:bottom w:w="80" w:type="dxa"/>
              <w:end w:w="120" w:type="dxa"/>
            </w:tcMar>
          </w:tcPr>
          <w:p>
            <w:pPr>
              <w:spacing w:before="0" w:after="0" w:line="259" w:lineRule="auto"/>
            </w:pPr>
            <w:r/>
            <w:r>
              <w:rPr>
                <w:rFonts w:ascii="Calibri" w:hAnsi="Calibri"/>
                <w:b w:val="0"/>
                <w:color w:val="17212B"/>
                <w:sz w:val="17"/>
              </w:rPr>
              <w:t>Cross-encoder reranker</w:t>
            </w:r>
          </w:p>
        </w:tc>
        <w:tc>
          <w:tcPr>
            <w:tcW w:type="dxa" w:w="3680"/>
            <w:vAlign w:val="center"/>
            <w:tcMar>
              <w:top w:w="80" w:type="dxa"/>
              <w:start w:w="120" w:type="dxa"/>
              <w:bottom w:w="80" w:type="dxa"/>
              <w:end w:w="120" w:type="dxa"/>
            </w:tcMar>
          </w:tcPr>
          <w:p>
            <w:pPr>
              <w:spacing w:before="0" w:after="0" w:line="259" w:lineRule="auto"/>
            </w:pPr>
            <w:r/>
            <w:r>
              <w:rPr>
                <w:rFonts w:ascii="Calibri" w:hAnsi="Calibri"/>
                <w:b w:val="0"/>
                <w:color w:val="17212B"/>
                <w:sz w:val="17"/>
              </w:rPr>
              <w:t>Score complete query-passage pairs with ms-marco-MiniLM-L-6-v2.</w:t>
            </w:r>
          </w:p>
        </w:tc>
        <w:tc>
          <w:tcPr>
            <w:tcW w:type="dxa" w:w="3830"/>
            <w:vAlign w:val="center"/>
            <w:tcMar>
              <w:top w:w="80" w:type="dxa"/>
              <w:start w:w="120" w:type="dxa"/>
              <w:bottom w:w="80" w:type="dxa"/>
              <w:end w:w="120" w:type="dxa"/>
            </w:tcMar>
          </w:tcPr>
          <w:p>
            <w:pPr>
              <w:spacing w:before="0" w:after="0" w:line="259" w:lineRule="auto"/>
            </w:pPr>
            <w:r/>
            <w:r>
              <w:rPr>
                <w:rFonts w:ascii="Calibri" w:hAnsi="Calibri"/>
                <w:b w:val="0"/>
                <w:color w:val="17212B"/>
                <w:sz w:val="17"/>
              </w:rPr>
              <w:t>Improves ordering precision at higher latency; keeps bounded candidates.</w:t>
            </w:r>
          </w:p>
        </w:tc>
      </w:tr>
      <w:tr>
        <w:trPr>
          <w:cantSplit w:val="true"/>
        </w:trPr>
        <w:tc>
          <w:tcPr>
            <w:tcW w:type="dxa" w:w="18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MMR sampler</w:t>
            </w:r>
          </w:p>
        </w:tc>
        <w:tc>
          <w:tcPr>
            <w:tcW w:type="dxa" w:w="368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Select a subset that balances query relevance against redundancy.</w:t>
            </w:r>
          </w:p>
        </w:tc>
        <w:tc>
          <w:tcPr>
            <w:tcW w:type="dxa" w:w="383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Uses cosine similarity over query/candidate embeddings; retains original retrieval scores.</w:t>
            </w:r>
          </w:p>
        </w:tc>
      </w:tr>
      <w:tr>
        <w:trPr>
          <w:cantSplit w:val="true"/>
        </w:trPr>
        <w:tc>
          <w:tcPr>
            <w:tcW w:type="dxa" w:w="1850"/>
            <w:vAlign w:val="center"/>
            <w:tcMar>
              <w:top w:w="80" w:type="dxa"/>
              <w:start w:w="120" w:type="dxa"/>
              <w:bottom w:w="80" w:type="dxa"/>
              <w:end w:w="120" w:type="dxa"/>
            </w:tcMar>
          </w:tcPr>
          <w:p>
            <w:pPr>
              <w:spacing w:before="0" w:after="0" w:line="259" w:lineRule="auto"/>
            </w:pPr>
            <w:r/>
            <w:r>
              <w:rPr>
                <w:rFonts w:ascii="Calibri" w:hAnsi="Calibri"/>
                <w:b w:val="0"/>
                <w:color w:val="17212B"/>
                <w:sz w:val="17"/>
              </w:rPr>
              <w:t>Corpus enrichment retriever</w:t>
            </w:r>
          </w:p>
        </w:tc>
        <w:tc>
          <w:tcPr>
            <w:tcW w:type="dxa" w:w="3680"/>
            <w:vAlign w:val="center"/>
            <w:tcMar>
              <w:top w:w="80" w:type="dxa"/>
              <w:start w:w="120" w:type="dxa"/>
              <w:bottom w:w="80" w:type="dxa"/>
              <w:end w:w="120" w:type="dxa"/>
            </w:tcMar>
          </w:tcPr>
          <w:p>
            <w:pPr>
              <w:spacing w:before="0" w:after="0" w:line="259" w:lineRule="auto"/>
            </w:pPr>
            <w:r/>
            <w:r>
              <w:rPr>
                <w:rFonts w:ascii="Calibri" w:hAnsi="Calibri"/>
                <w:b w:val="0"/>
                <w:color w:val="17212B"/>
                <w:sz w:val="17"/>
              </w:rPr>
              <w:t>When retrieval is insufficient, discover, ingest, index, reload BM25, and retry.</w:t>
            </w:r>
          </w:p>
        </w:tc>
        <w:tc>
          <w:tcPr>
            <w:tcW w:type="dxa" w:w="3830"/>
            <w:vAlign w:val="center"/>
            <w:tcMar>
              <w:top w:w="80" w:type="dxa"/>
              <w:start w:w="120" w:type="dxa"/>
              <w:bottom w:w="80" w:type="dxa"/>
              <w:end w:w="120" w:type="dxa"/>
            </w:tcMar>
          </w:tcPr>
          <w:p>
            <w:pPr>
              <w:spacing w:before="0" w:after="0" w:line="259" w:lineRule="auto"/>
            </w:pPr>
            <w:r/>
            <w:r>
              <w:rPr>
                <w:rFonts w:ascii="Calibri" w:hAnsi="Calibri"/>
                <w:b w:val="0"/>
                <w:color w:val="17212B"/>
                <w:sz w:val="17"/>
              </w:rPr>
              <w:t>Optional fallback; a calibrated relevance gate is recommended for RRF scores.</w:t>
            </w:r>
          </w:p>
        </w:tc>
      </w:tr>
      <w:tr>
        <w:trPr>
          <w:cantSplit w:val="true"/>
        </w:trPr>
        <w:tc>
          <w:tcPr>
            <w:tcW w:type="dxa" w:w="18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Retriever factory / result model</w:t>
            </w:r>
          </w:p>
        </w:tc>
        <w:tc>
          <w:tcPr>
            <w:tcW w:type="dxa" w:w="368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Construct valid stacks from config and normalize results into one payload-preserving schema.</w:t>
            </w:r>
          </w:p>
        </w:tc>
        <w:tc>
          <w:tcPr>
            <w:tcW w:type="dxa" w:w="383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Rejects unknown configuration keys and malformed result records.</w:t>
            </w:r>
          </w:p>
        </w:tc>
      </w:tr>
    </w:tbl>
    <w:p>
      <w:pPr>
        <w:spacing w:after="40"/>
      </w:pPr>
    </w:p>
    <w:p>
      <w:pPr>
        <w:pStyle w:val="Heading2"/>
        <w:keepNext/>
      </w:pPr>
      <w:r>
        <w:t>Parameter values and rationale</w:t>
      </w:r>
    </w:p>
    <w:tbl>
      <w:tblPr>
        <w:tblStyle w:val="TableGrid"/>
        <w:tblW w:type="dxa" w:w="9360"/>
        <w:jc w:val="left"/>
        <w:tblLayout w:type="fixed"/>
        <w:tblLook w:firstColumn="1" w:firstRow="1" w:lastColumn="0" w:lastRow="0" w:noHBand="0" w:noVBand="1" w:val="04A0"/>
        <w:tblInd w:w="120" w:type="dxa"/>
      </w:tblPr>
      <w:tblGrid>
        <w:gridCol w:w="1950"/>
        <w:gridCol w:w="2300"/>
        <w:gridCol w:w="5110"/>
      </w:tblGrid>
      <w:tr>
        <w:trPr>
          <w:tblHeader w:val="true"/>
          <w:cantSplit w:val="true"/>
        </w:trPr>
        <w:tc>
          <w:tcPr>
            <w:tcW w:type="dxa" w:w="19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Parameter</w:t>
            </w:r>
          </w:p>
        </w:tc>
        <w:tc>
          <w:tcPr>
            <w:tcW w:type="dxa" w:w="23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Code / runtime value</w:t>
            </w:r>
          </w:p>
        </w:tc>
        <w:tc>
          <w:tcPr>
            <w:tcW w:type="dxa" w:w="511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Purpose and choice rationale</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enable_expansion</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False</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Avoids query drift by default. Built-in expansions are small and deterministic for RAG, LLM, BM25, and evaluation.</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dense default_top_k</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10 class default; 50 app/eval</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The reusable class is conservative; the full stack retrieves 50 candidates to protect recall before fusion/reranking.</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sparse default_top_k</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10 class default; 50 app/eval</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Mirrors dense breadth so neither backend is underrepresented.</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filters</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None by default</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Optional scalar, membership, or gt/gte/lt/lte constraints; no silent filtering of the base corpus.</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score_threshold</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None</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Backend scores are not directly comparable and require corpus-specific calibration before a global cutoff is safe.</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hybrid default_top_k</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20</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Keeps a practical fused shortlist and matches HYBRID_TOP_K.</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candidate_top_k</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50</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Gives RRF and reranking enough evidence to recover useful chunks missed by one backend.</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rrf_k</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60</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Standard smoothing constant that reduces excessive dominance from small rank changes while still rewarding agreement across lists.</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RRF score</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sum 1/(60 + rank)</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Combines rank evidence without normalizing cosine and BM25 score scales.</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reranker model</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cross-encoder/ms-marco-MiniLM-L-6-v2</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A compact query-passage relevance model trained for search ranking.</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reranker top_k</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8 production setting; 20 evaluation</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Eight limits prompt size and cross-encoder output; evaluation retains 20 so Recall@20 and stage-to-stage ablations remain valid.</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reranker batch_size</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None</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Delegates batching to the model library unless deployment profiling justifies an explicit device-specific value.</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MMR lambda_mult</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0.5</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Equal weight to relevance and novelty; a neutral baseline, not a tuned optimum.</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MMR default_top_k</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5 class default; 20 evaluator</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Reusable sampler is small by default; evaluation preserves the common 20-result cutoff.</w:t>
            </w:r>
          </w:p>
        </w:tc>
      </w:tr>
      <w:tr>
        <w:trPr>
          <w:cantSplit w:val="true"/>
        </w:trPr>
        <w:tc>
          <w:tcPr>
            <w:tcW w:type="dxa" w:w="1950"/>
            <w:vAlign w:val="center"/>
            <w:tcMar>
              <w:top w:w="80" w:type="dxa"/>
              <w:start w:w="120" w:type="dxa"/>
              <w:bottom w:w="80" w:type="dxa"/>
              <w:end w:w="120" w:type="dxa"/>
            </w:tcMar>
          </w:tcPr>
          <w:p>
            <w:pPr>
              <w:spacing w:before="0" w:after="0" w:line="259" w:lineRule="auto"/>
            </w:pPr>
            <w:r/>
            <w:r>
              <w:rPr>
                <w:rFonts w:ascii="Calibri" w:hAnsi="Calibri"/>
                <w:b w:val="0"/>
                <w:color w:val="17212B"/>
                <w:sz w:val="16"/>
              </w:rPr>
              <w:t>fallback max_discovery_results</w:t>
            </w:r>
          </w:p>
        </w:tc>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17212B"/>
                <w:sz w:val="16"/>
              </w:rPr>
              <w:t>5</w:t>
            </w:r>
          </w:p>
        </w:tc>
        <w:tc>
          <w:tcPr>
            <w:tcW w:type="dxa" w:w="5110"/>
            <w:vAlign w:val="center"/>
            <w:tcMar>
              <w:top w:w="80" w:type="dxa"/>
              <w:start w:w="120" w:type="dxa"/>
              <w:bottom w:w="80" w:type="dxa"/>
              <w:end w:w="120" w:type="dxa"/>
            </w:tcMar>
          </w:tcPr>
          <w:p>
            <w:pPr>
              <w:spacing w:before="0" w:after="0" w:line="259" w:lineRule="auto"/>
            </w:pPr>
            <w:r/>
            <w:r>
              <w:rPr>
                <w:rFonts w:ascii="Calibri" w:hAnsi="Calibri"/>
                <w:b w:val="0"/>
                <w:color w:val="17212B"/>
                <w:sz w:val="16"/>
              </w:rPr>
              <w:t>Bounds network and indexing work on an enrichment attempt.</w:t>
            </w:r>
          </w:p>
        </w:tc>
      </w:tr>
      <w:tr>
        <w:trPr>
          <w:cantSplit w:val="true"/>
        </w:trPr>
        <w:tc>
          <w:tcPr>
            <w:tcW w:type="dxa" w:w="1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fallback min_results / min_score</w:t>
            </w:r>
          </w:p>
        </w:tc>
        <w:tc>
          <w:tcPr>
            <w:tcW w:type="dxa" w:w="23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1 / None</w:t>
            </w:r>
          </w:p>
        </w:tc>
        <w:tc>
          <w:tcPr>
            <w:tcW w:type="dxa" w:w="51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Minimal generic sufficiency rule. Hybrid deployments should supply a calibrated relevance_gate instead of treating RRF as confidence.</w:t>
            </w:r>
          </w:p>
        </w:tc>
      </w:tr>
    </w:tbl>
    <w:p>
      <w:pPr>
        <w:spacing w:after="40"/>
      </w:pPr>
    </w:p>
    <w:p>
      <w:pPr>
        <w:spacing w:before="40" w:after="160"/>
      </w:pPr>
      <w:r>
        <w:rPr>
          <w:rFonts w:ascii="Calibri" w:hAnsi="Calibri"/>
          <w:b/>
          <w:color w:val="5B6570"/>
          <w:sz w:val="17"/>
        </w:rPr>
        <w:t xml:space="preserve">Implementation sources: </w:t>
      </w:r>
      <w:r>
        <w:rPr>
          <w:rFonts w:ascii="Calibri" w:hAnsi="Calibri"/>
          <w:i/>
          <w:color w:val="5B6570"/>
          <w:sz w:val="17"/>
        </w:rPr>
        <w:t>retrieval/query_processor.py, retrieval/dense_retriever.py, retrieval/sparse_retriever.py, retrieval/hybrid_retriever.py, retrieval/reranker.py, retrieval/mmr_sampler.py, retrieval/fallback_retriever.py, retrieval/retriever_factory.py, config/settings.py</w:t>
      </w:r>
    </w:p>
    <w:p>
      <w:pPr>
        <w:pStyle w:val="Heading1"/>
        <w:keepNext/>
      </w:pPr>
      <w:r>
        <w:t>4. Retrieval evaluation pipeline</w:t>
      </w:r>
    </w:p>
    <w:p>
      <w:pPr>
        <w:keepLines w:val="0"/>
        <w:spacing w:after="120" w:line="264" w:lineRule="auto"/>
      </w:pPr>
      <w:r>
        <w:rPr>
          <w:rFonts w:ascii="Calibri" w:hAnsi="Calibri"/>
          <w:i w:val="0"/>
          <w:color w:val="17212B"/>
        </w:rPr>
        <w:t>Evaluation is an ablation across ranking stages, not a generated-answer evaluation. Each question runs through the same dense and sparse candidate pool, then progressively adds fusion, reranking, and MMR. This isolates where relevance or latency changes.</w:t>
      </w:r>
    </w:p>
    <w:p>
      <w:pPr>
        <w:pStyle w:val="Heading2"/>
        <w:keepNext/>
      </w:pPr>
      <w:r>
        <w:t>Components and their uses</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cantSplit w:val="true"/>
        </w:trPr>
        <w:tc>
          <w:tcPr>
            <w:tcW w:type="dxa" w:w="19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Component</w:t>
            </w:r>
          </w:p>
        </w:tc>
        <w:tc>
          <w:tcPr>
            <w:tcW w:type="dxa" w:w="39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Use</w:t>
            </w:r>
          </w:p>
        </w:tc>
        <w:tc>
          <w:tcPr>
            <w:tcW w:type="dxa" w:w="356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Output / guardrail</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7"/>
              </w:rPr>
              <w:t>Golden-set bootstrap</w:t>
            </w:r>
          </w:p>
        </w:tc>
        <w:tc>
          <w:tcPr>
            <w:tcW w:type="dxa" w:w="3900"/>
            <w:vAlign w:val="center"/>
            <w:tcMar>
              <w:top w:w="80" w:type="dxa"/>
              <w:start w:w="120" w:type="dxa"/>
              <w:bottom w:w="80" w:type="dxa"/>
              <w:end w:w="120" w:type="dxa"/>
            </w:tcMar>
          </w:tcPr>
          <w:p>
            <w:pPr>
              <w:spacing w:before="0" w:after="0" w:line="259" w:lineRule="auto"/>
            </w:pPr>
            <w:r/>
            <w:r>
              <w:rPr>
                <w:rFonts w:ascii="Calibri" w:hAnsi="Calibri"/>
                <w:b w:val="0"/>
                <w:color w:val="17212B"/>
                <w:sz w:val="17"/>
              </w:rPr>
              <w:t>Creates 50 reviewable questions from 10 curated examples plus indexed-paper titles.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17212B"/>
                <w:sz w:val="17"/>
              </w:rPr>
              <w:t>Title-derived questions are explicitly flagged as diagnostics needing human review.</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Candidate labelling CLI</w:t>
            </w:r>
          </w:p>
        </w:tc>
        <w:tc>
          <w:tcPr>
            <w:tcW w:type="dxa" w:w="3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Shows hybrid top-20 chunks and records relevant/not-relevant decisions.</w:t>
            </w:r>
          </w:p>
        </w:tc>
        <w:tc>
          <w:tcPr>
            <w:tcW w:type="dxa" w:w="35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Writes progress after every question; produces chunk-level labels when review is complete.</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7"/>
              </w:rPr>
              <w:t>Metric functions</w:t>
            </w:r>
          </w:p>
        </w:tc>
        <w:tc>
          <w:tcPr>
            <w:tcW w:type="dxa" w:w="3900"/>
            <w:vAlign w:val="center"/>
            <w:tcMar>
              <w:top w:w="80" w:type="dxa"/>
              <w:start w:w="120" w:type="dxa"/>
              <w:bottom w:w="80" w:type="dxa"/>
              <w:end w:w="120" w:type="dxa"/>
            </w:tcMar>
          </w:tcPr>
          <w:p>
            <w:pPr>
              <w:spacing w:before="0" w:after="0" w:line="259" w:lineRule="auto"/>
            </w:pPr>
            <w:r/>
            <w:r>
              <w:rPr>
                <w:rFonts w:ascii="Calibri" w:hAnsi="Calibri"/>
                <w:b w:val="0"/>
                <w:color w:val="17212B"/>
                <w:sz w:val="17"/>
              </w:rPr>
              <w:t>Compute binary ranking metrics over unique identifiers.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17212B"/>
                <w:sz w:val="17"/>
              </w:rPr>
              <w:t>Missing result slots count as nonrelevant for Precision@k; empty relevance sets return zero.</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RetrievalEvaluator</w:t>
            </w:r>
          </w:p>
        </w:tc>
        <w:tc>
          <w:tcPr>
            <w:tcW w:type="dxa" w:w="3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Runs five configurations, captures cumulative latency, scores each query, and aggregates means.</w:t>
            </w:r>
          </w:p>
        </w:tc>
        <w:tc>
          <w:tcPr>
            <w:tcW w:type="dxa" w:w="35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Uses chunk IDs when available; otherwise explicitly falls back to paper IDs.</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7"/>
              </w:rPr>
              <w:t>Output writer</w:t>
            </w:r>
          </w:p>
        </w:tc>
        <w:tc>
          <w:tcPr>
            <w:tcW w:type="dxa" w:w="3900"/>
            <w:vAlign w:val="center"/>
            <w:tcMar>
              <w:top w:w="80" w:type="dxa"/>
              <w:start w:w="120" w:type="dxa"/>
              <w:bottom w:w="80" w:type="dxa"/>
              <w:end w:w="120" w:type="dxa"/>
            </w:tcMar>
          </w:tcPr>
          <w:p>
            <w:pPr>
              <w:spacing w:before="0" w:after="0" w:line="259" w:lineRule="auto"/>
            </w:pPr>
            <w:r/>
            <w:r>
              <w:rPr>
                <w:rFonts w:ascii="Calibri" w:hAnsi="Calibri"/>
                <w:b w:val="0"/>
                <w:color w:val="17212B"/>
                <w:sz w:val="17"/>
              </w:rPr>
              <w:t>Saves timestamped JSON, CSV, Markdown, and a stable candidate cache.</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17212B"/>
                <w:sz w:val="17"/>
              </w:rPr>
              <w:t>Stores golden-file SHA-256 and runtime configuration for reproducibility.</w:t>
            </w:r>
          </w:p>
        </w:tc>
      </w:tr>
    </w:tbl>
    <w:p>
      <w:pPr>
        <w:spacing w:after="40"/>
      </w:pPr>
    </w:p>
    <w:p>
      <w:pPr>
        <w:pStyle w:val="Heading2"/>
        <w:keepNext/>
      </w:pPr>
      <w:r>
        <w:t>Evaluation values and rationale</w:t>
      </w:r>
    </w:p>
    <w:tbl>
      <w:tblPr>
        <w:tblStyle w:val="TableGrid"/>
        <w:tblW w:type="dxa" w:w="9360"/>
        <w:jc w:val="left"/>
        <w:tblLayout w:type="fixed"/>
        <w:tblLook w:firstColumn="1" w:firstRow="1" w:lastColumn="0" w:lastRow="0" w:noHBand="0" w:noVBand="1" w:val="04A0"/>
        <w:tblInd w:w="120" w:type="dxa"/>
      </w:tblPr>
      <w:tblGrid>
        <w:gridCol w:w="1900"/>
        <w:gridCol w:w="2200"/>
        <w:gridCol w:w="5260"/>
      </w:tblGrid>
      <w:tr>
        <w:trPr>
          <w:tblHeader w:val="true"/>
          <w:cantSplit w:val="true"/>
        </w:trPr>
        <w:tc>
          <w:tcPr>
            <w:tcW w:type="dxa" w:w="19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Parameter / metric</w:t>
            </w:r>
          </w:p>
        </w:tc>
        <w:tc>
          <w:tcPr>
            <w:tcW w:type="dxa" w:w="22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Value</w:t>
            </w:r>
          </w:p>
        </w:tc>
        <w:tc>
          <w:tcPr>
            <w:tcW w:type="dxa" w:w="526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Purpose and choice rationale</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Configurations</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dense; sparse; hybrid_rrf; hybrid_rerank; hybrid_rerank_mmr</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Measures the incremental value and latency of each stage.</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KS</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5, 8, 20</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Five measures early retrieval, eight matches production rerank depth, and twenty measures candidate recall.</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candidate_k</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50 CLI default</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Broad pool for dense, sparse, RRF, and cross-encoder ablation; evaluator enforces at least 20.</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final_k</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20</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Preserves every requested metric cutoff after reranking and MMR.</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reranker lift threshold</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0.02</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Requires at least +2 percentage points mean Recall@8 before calling the reranker improvement meaningful.</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Qdrant</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path=data/qdrant; URL fallback localhost:6333; timeout=30 s</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Local persistent evaluation is default; network client remains available.</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collection</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ai_papers</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Matches application Settings and evaluator environment default.</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model cache</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data/model_cache</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Supports reproducible local Hugging Face snapshots and reduces avoidable downloads.</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bootstrap count</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50</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Large enough for a diagnostic baseline, but not publication-quality; 40 records are title-derived by design.</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labelling depth</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top 20</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Matches the widest reported cutoff and keeps manual review bounded.</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Hit@k</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Any relevant item by k</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Direct success-rate view.</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Precision@k</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Relevant retrieved / k</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Penalizes nonrelevant and missing slots.</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Recall@k</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Relevant retrieved / all relevant</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Measures coverage of labelled evidence.</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MRR</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1 / first relevant rank</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Rewards placing the first useful result early.</w:t>
            </w:r>
          </w:p>
        </w:tc>
      </w:tr>
      <w:tr>
        <w:trPr>
          <w:cantSplit w:val="true"/>
        </w:trP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17212B"/>
                <w:sz w:val="16"/>
              </w:rPr>
              <w:t>nDCG@k</w:t>
            </w:r>
          </w:p>
        </w:tc>
        <w:tc>
          <w:tcPr>
            <w:tcW w:type="dxa" w:w="2200"/>
            <w:vAlign w:val="center"/>
            <w:tcMar>
              <w:top w:w="80" w:type="dxa"/>
              <w:start w:w="120" w:type="dxa"/>
              <w:bottom w:w="80" w:type="dxa"/>
              <w:end w:w="120" w:type="dxa"/>
            </w:tcMar>
          </w:tcPr>
          <w:p>
            <w:pPr>
              <w:spacing w:before="0" w:after="0" w:line="259" w:lineRule="auto"/>
            </w:pPr>
            <w:r/>
            <w:r>
              <w:rPr>
                <w:rFonts w:ascii="Calibri" w:hAnsi="Calibri"/>
                <w:b w:val="0"/>
                <w:color w:val="17212B"/>
                <w:sz w:val="16"/>
              </w:rPr>
              <w:t>Discounted gain / ideal gain</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17212B"/>
                <w:sz w:val="16"/>
              </w:rPr>
              <w:t>Rewards correct ordering across multiple relevant items.</w:t>
            </w:r>
          </w:p>
        </w:tc>
      </w:tr>
      <w:tr>
        <w:trPr>
          <w:cantSplit w:val="true"/>
        </w:trPr>
        <w:tc>
          <w:tcPr>
            <w:tcW w:type="dxa" w:w="19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Latency</w:t>
            </w:r>
          </w:p>
        </w:tc>
        <w:tc>
          <w:tcPr>
            <w:tcW w:type="dxa" w:w="2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Cumulative milliseconds</w:t>
            </w:r>
          </w:p>
        </w:tc>
        <w:tc>
          <w:tcPr>
            <w:tcW w:type="dxa" w:w="52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6"/>
              </w:rPr>
              <w:t>Shows the user-facing cost of adding fusion, reranking, and MMR.</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FF6DD"/>
            <w:vAlign w:val="center"/>
            <w:tcMar>
              <w:top w:w="80" w:type="dxa"/>
              <w:start w:w="120" w:type="dxa"/>
              <w:bottom w:w="80" w:type="dxa"/>
              <w:end w:w="120" w:type="dxa"/>
            </w:tcMar>
          </w:tcPr>
          <w:p>
            <w:pPr>
              <w:spacing w:after="0"/>
            </w:pPr>
            <w:r>
              <w:rPr>
                <w:rFonts w:ascii="Calibri" w:hAnsi="Calibri"/>
                <w:b/>
                <w:color w:val="A06A00"/>
              </w:rPr>
              <w:t xml:space="preserve">Interpretation limit: </w:t>
            </w:r>
            <w:r>
              <w:rPr>
                <w:rFonts w:ascii="Calibri" w:hAnsi="Calibri"/>
                <w:color w:val="17212B"/>
              </w:rPr>
              <w:t>Until chunk review is complete, paper-level fallback can make title-derived questions artificially easy and cannot distinguish a relevant paper from a relevant passage. Use the current run as a diagnostic baseline, not an architecture-selection benchmark.</w:t>
            </w:r>
          </w:p>
        </w:tc>
      </w:tr>
    </w:tbl>
    <w:p>
      <w:pPr>
        <w:spacing w:after="40"/>
      </w:pPr>
    </w:p>
    <w:p>
      <w:pPr>
        <w:spacing w:before="40" w:after="160"/>
      </w:pPr>
      <w:r>
        <w:rPr>
          <w:rFonts w:ascii="Calibri" w:hAnsi="Calibri"/>
          <w:b/>
          <w:color w:val="5B6570"/>
          <w:sz w:val="17"/>
        </w:rPr>
        <w:t xml:space="preserve">Implementation sources: </w:t>
      </w:r>
      <w:r>
        <w:rPr>
          <w:rFonts w:ascii="Calibri" w:hAnsi="Calibri"/>
          <w:i/>
          <w:color w:val="5B6570"/>
          <w:sz w:val="17"/>
        </w:rPr>
        <w:t>evaluation/metrics.py, evaluation/retrieval_evaluator.py, evaluation/bootstrap_retrieval_golden.py, evaluation/label_retrieval.py, README.md</w:t>
      </w:r>
    </w:p>
    <w:p>
      <w:pPr>
        <w:pStyle w:val="Heading1"/>
        <w:keepNext/>
      </w:pPr>
      <w:r>
        <w:t>Libraries actually used by these pipelines</w:t>
      </w:r>
    </w:p>
    <w:p>
      <w:pPr>
        <w:keepLines w:val="0"/>
        <w:spacing w:after="120" w:line="264" w:lineRule="auto"/>
      </w:pPr>
      <w:r>
        <w:rPr>
          <w:rFonts w:ascii="Calibri" w:hAnsi="Calibri"/>
          <w:i w:val="0"/>
          <w:color w:val="17212B"/>
        </w:rPr>
        <w:t>The table below separates direct implementation dependencies from packages merely declared in requirements.txt. This avoids implying that optional frameworks participate in the current path when they do not.</w:t>
      </w:r>
    </w:p>
    <w:tbl>
      <w:tblPr>
        <w:tblStyle w:val="TableGrid"/>
        <w:tblW w:type="dxa" w:w="9360"/>
        <w:jc w:val="left"/>
        <w:tblLayout w:type="fixed"/>
        <w:tblLook w:firstColumn="1" w:firstRow="1" w:lastColumn="0" w:lastRow="0" w:noHBand="0" w:noVBand="1" w:val="04A0"/>
        <w:tblInd w:w="120" w:type="dxa"/>
      </w:tblPr>
      <w:tblGrid>
        <w:gridCol w:w="2350"/>
        <w:gridCol w:w="3250"/>
        <w:gridCol w:w="3760"/>
      </w:tblGrid>
      <w:tr>
        <w:trPr>
          <w:tblHeader w:val="true"/>
          <w:cantSplit w:val="true"/>
        </w:trPr>
        <w:tc>
          <w:tcPr>
            <w:tcW w:type="dxa" w:w="23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Library</w:t>
            </w:r>
          </w:p>
        </w:tc>
        <w:tc>
          <w:tcPr>
            <w:tcW w:type="dxa" w:w="32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Pipeline use</w:t>
            </w:r>
          </w:p>
        </w:tc>
        <w:tc>
          <w:tcPr>
            <w:tcW w:type="dxa" w:w="376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Notes</w:t>
            </w:r>
          </w:p>
        </w:tc>
      </w:tr>
      <w:tr>
        <w:trPr>
          <w:cantSplit w:val="true"/>
        </w:trPr>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7"/>
              </w:rPr>
              <w:t>arxiv 2.1.3</w:t>
            </w:r>
          </w:p>
        </w:tc>
        <w:tc>
          <w:tcPr>
            <w:tcW w:type="dxa" w:w="3250"/>
            <w:vAlign w:val="center"/>
            <w:tcMar>
              <w:top w:w="80" w:type="dxa"/>
              <w:start w:w="120" w:type="dxa"/>
              <w:bottom w:w="80" w:type="dxa"/>
              <w:end w:w="120" w:type="dxa"/>
            </w:tcMar>
          </w:tcPr>
          <w:p>
            <w:pPr>
              <w:spacing w:before="0" w:after="0" w:line="259" w:lineRule="auto"/>
            </w:pPr>
            <w:r/>
            <w:r>
              <w:rPr>
                <w:rFonts w:ascii="Calibri" w:hAnsi="Calibri"/>
                <w:b w:val="0"/>
                <w:color w:val="17212B"/>
                <w:sz w:val="17"/>
              </w:rPr>
              <w:t>Ingestion discovery</w:t>
            </w:r>
          </w:p>
        </w:tc>
        <w:tc>
          <w:tcPr>
            <w:tcW w:type="dxa" w:w="3760"/>
            <w:vAlign w:val="center"/>
            <w:tcMar>
              <w:top w:w="80" w:type="dxa"/>
              <w:start w:w="120" w:type="dxa"/>
              <w:bottom w:w="80" w:type="dxa"/>
              <w:end w:w="120" w:type="dxa"/>
            </w:tcMar>
          </w:tcPr>
          <w:p>
            <w:pPr>
              <w:spacing w:before="0" w:after="0" w:line="259" w:lineRule="auto"/>
            </w:pPr>
            <w:r/>
            <w:r>
              <w:rPr>
                <w:rFonts w:ascii="Calibri" w:hAnsi="Calibri"/>
                <w:b w:val="0"/>
                <w:color w:val="17212B"/>
                <w:sz w:val="17"/>
              </w:rPr>
              <w:t>ArXiv API search and normalized result records.</w:t>
            </w:r>
          </w:p>
        </w:tc>
      </w:tr>
      <w:tr>
        <w:trPr>
          <w:cantSplit w:val="true"/>
        </w:trPr>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httpx 0.27.0</w:t>
            </w:r>
          </w:p>
        </w:tc>
        <w:tc>
          <w:tcPr>
            <w:tcW w:type="dxa" w:w="32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Discovery HTTP integrations and PDF download</w:t>
            </w:r>
          </w:p>
        </w:tc>
        <w:tc>
          <w:tcPr>
            <w:tcW w:type="dxa" w:w="37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The current code uses synchronous clients/streams despite the requirements comment calling it async.</w:t>
            </w:r>
          </w:p>
        </w:tc>
      </w:tr>
      <w:tr>
        <w:trPr>
          <w:cantSplit w:val="true"/>
        </w:trPr>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7"/>
              </w:rPr>
              <w:t>PyMuPDF 1.24.5 (fitz)</w:t>
            </w:r>
          </w:p>
        </w:tc>
        <w:tc>
          <w:tcPr>
            <w:tcW w:type="dxa" w:w="3250"/>
            <w:vAlign w:val="center"/>
            <w:tcMar>
              <w:top w:w="80" w:type="dxa"/>
              <w:start w:w="120" w:type="dxa"/>
              <w:bottom w:w="80" w:type="dxa"/>
              <w:end w:w="120" w:type="dxa"/>
            </w:tcMar>
          </w:tcPr>
          <w:p>
            <w:pPr>
              <w:spacing w:before="0" w:after="0" w:line="259" w:lineRule="auto"/>
            </w:pPr>
            <w:r/>
            <w:r>
              <w:rPr>
                <w:rFonts w:ascii="Calibri" w:hAnsi="Calibri"/>
                <w:b w:val="0"/>
                <w:color w:val="17212B"/>
                <w:sz w:val="17"/>
              </w:rPr>
              <w:t>PDF validation and page-text extraction</w:t>
            </w:r>
          </w:p>
        </w:tc>
        <w:tc>
          <w:tcPr>
            <w:tcW w:type="dxa" w:w="3760"/>
            <w:vAlign w:val="center"/>
            <w:tcMar>
              <w:top w:w="80" w:type="dxa"/>
              <w:start w:w="120" w:type="dxa"/>
              <w:bottom w:w="80" w:type="dxa"/>
              <w:end w:w="120" w:type="dxa"/>
            </w:tcMar>
          </w:tcPr>
          <w:p>
            <w:pPr>
              <w:spacing w:before="0" w:after="0" w:line="259" w:lineRule="auto"/>
            </w:pPr>
            <w:r/>
            <w:r>
              <w:rPr>
                <w:rFonts w:ascii="Calibri" w:hAnsi="Calibri"/>
                <w:b w:val="0"/>
                <w:color w:val="17212B"/>
                <w:sz w:val="17"/>
              </w:rPr>
              <w:t>Primary parser; checks document readability and page count.</w:t>
            </w:r>
          </w:p>
        </w:tc>
      </w:tr>
      <w:tr>
        <w:trPr>
          <w:cantSplit w:val="true"/>
        </w:trPr>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tiktoken 0.7.0</w:t>
            </w:r>
          </w:p>
        </w:tc>
        <w:tc>
          <w:tcPr>
            <w:tcW w:type="dxa" w:w="32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Chunk token offsets</w:t>
            </w:r>
          </w:p>
        </w:tc>
        <w:tc>
          <w:tcPr>
            <w:tcW w:type="dxa" w:w="37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cl100k_base when available; regex fallback otherwise.</w:t>
            </w:r>
          </w:p>
        </w:tc>
      </w:tr>
      <w:tr>
        <w:trPr>
          <w:cantSplit w:val="true"/>
        </w:trPr>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7"/>
              </w:rPr>
              <w:t>sentence-transformers 3.0.1</w:t>
            </w:r>
          </w:p>
        </w:tc>
        <w:tc>
          <w:tcPr>
            <w:tcW w:type="dxa" w:w="3250"/>
            <w:vAlign w:val="center"/>
            <w:tcMar>
              <w:top w:w="80" w:type="dxa"/>
              <w:start w:w="120" w:type="dxa"/>
              <w:bottom w:w="80" w:type="dxa"/>
              <w:end w:w="120" w:type="dxa"/>
            </w:tcMar>
          </w:tcPr>
          <w:p>
            <w:pPr>
              <w:spacing w:before="0" w:after="0" w:line="259" w:lineRule="auto"/>
            </w:pPr>
            <w:r/>
            <w:r>
              <w:rPr>
                <w:rFonts w:ascii="Calibri" w:hAnsi="Calibri"/>
                <w:b w:val="0"/>
                <w:color w:val="17212B"/>
                <w:sz w:val="17"/>
              </w:rPr>
              <w:t>Dense embeddings and cross-encoder reranking</w:t>
            </w:r>
          </w:p>
        </w:tc>
        <w:tc>
          <w:tcPr>
            <w:tcW w:type="dxa" w:w="3760"/>
            <w:vAlign w:val="center"/>
            <w:tcMar>
              <w:top w:w="80" w:type="dxa"/>
              <w:start w:w="120" w:type="dxa"/>
              <w:bottom w:w="80" w:type="dxa"/>
              <w:end w:w="120" w:type="dxa"/>
            </w:tcMar>
          </w:tcPr>
          <w:p>
            <w:pPr>
              <w:spacing w:before="0" w:after="0" w:line="259" w:lineRule="auto"/>
            </w:pPr>
            <w:r/>
            <w:r>
              <w:rPr>
                <w:rFonts w:ascii="Calibri" w:hAnsi="Calibri"/>
                <w:b w:val="0"/>
                <w:color w:val="17212B"/>
                <w:sz w:val="17"/>
              </w:rPr>
              <w:t>Uses all-MiniLM-L6-v2 and ms-marco-MiniLM-L-6-v2.</w:t>
            </w:r>
          </w:p>
        </w:tc>
      </w:tr>
      <w:tr>
        <w:trPr>
          <w:cantSplit w:val="true"/>
        </w:trPr>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NumPy 1.26.4</w:t>
            </w:r>
          </w:p>
        </w:tc>
        <w:tc>
          <w:tcPr>
            <w:tcW w:type="dxa" w:w="32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Embeddings, ranking, MMR, metric support</w:t>
            </w:r>
          </w:p>
        </w:tc>
        <w:tc>
          <w:tcPr>
            <w:tcW w:type="dxa" w:w="37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Array validation, stable sorting, cosine operations.</w:t>
            </w:r>
          </w:p>
        </w:tc>
      </w:tr>
      <w:tr>
        <w:trPr>
          <w:cantSplit w:val="true"/>
        </w:trPr>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7"/>
              </w:rPr>
              <w:t>qdrant-client 1.10.1</w:t>
            </w:r>
          </w:p>
        </w:tc>
        <w:tc>
          <w:tcPr>
            <w:tcW w:type="dxa" w:w="3250"/>
            <w:vAlign w:val="center"/>
            <w:tcMar>
              <w:top w:w="80" w:type="dxa"/>
              <w:start w:w="120" w:type="dxa"/>
              <w:bottom w:w="80" w:type="dxa"/>
              <w:end w:w="120" w:type="dxa"/>
            </w:tcMar>
          </w:tcPr>
          <w:p>
            <w:pPr>
              <w:spacing w:before="0" w:after="0" w:line="259" w:lineRule="auto"/>
            </w:pPr>
            <w:r/>
            <w:r>
              <w:rPr>
                <w:rFonts w:ascii="Calibri" w:hAnsi="Calibri"/>
                <w:b w:val="0"/>
                <w:color w:val="17212B"/>
                <w:sz w:val="17"/>
              </w:rPr>
              <w:t>Dense indexing and retrieval</w:t>
            </w:r>
          </w:p>
        </w:tc>
        <w:tc>
          <w:tcPr>
            <w:tcW w:type="dxa" w:w="3760"/>
            <w:vAlign w:val="center"/>
            <w:tcMar>
              <w:top w:w="80" w:type="dxa"/>
              <w:start w:w="120" w:type="dxa"/>
              <w:bottom w:w="80" w:type="dxa"/>
              <w:end w:w="120" w:type="dxa"/>
            </w:tcMar>
          </w:tcPr>
          <w:p>
            <w:pPr>
              <w:spacing w:before="0" w:after="0" w:line="259" w:lineRule="auto"/>
            </w:pPr>
            <w:r/>
            <w:r>
              <w:rPr>
                <w:rFonts w:ascii="Calibri" w:hAnsi="Calibri"/>
                <w:b w:val="0"/>
                <w:color w:val="17212B"/>
                <w:sz w:val="17"/>
              </w:rPr>
              <w:t>Collection management, PointStruct payloads, filters, vector queries.</w:t>
            </w:r>
          </w:p>
        </w:tc>
      </w:tr>
      <w:tr>
        <w:trPr>
          <w:cantSplit w:val="true"/>
        </w:trPr>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rank-bm25 0.2.2</w:t>
            </w:r>
          </w:p>
        </w:tc>
        <w:tc>
          <w:tcPr>
            <w:tcW w:type="dxa" w:w="32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Sparse indexing and retrieval</w:t>
            </w:r>
          </w:p>
        </w:tc>
        <w:tc>
          <w:tcPr>
            <w:tcW w:type="dxa" w:w="37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BM25Okapi scoring.</w:t>
            </w:r>
          </w:p>
        </w:tc>
      </w:tr>
      <w:tr>
        <w:trPr>
          <w:cantSplit w:val="true"/>
        </w:trPr>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7"/>
              </w:rPr>
              <w:t>python-dotenv 1.0.1</w:t>
            </w:r>
          </w:p>
        </w:tc>
        <w:tc>
          <w:tcPr>
            <w:tcW w:type="dxa" w:w="3250"/>
            <w:vAlign w:val="center"/>
            <w:tcMar>
              <w:top w:w="80" w:type="dxa"/>
              <w:start w:w="120" w:type="dxa"/>
              <w:bottom w:w="80" w:type="dxa"/>
              <w:end w:w="120" w:type="dxa"/>
            </w:tcMar>
          </w:tcPr>
          <w:p>
            <w:pPr>
              <w:spacing w:before="0" w:after="0" w:line="259" w:lineRule="auto"/>
            </w:pPr>
            <w:r/>
            <w:r>
              <w:rPr>
                <w:rFonts w:ascii="Calibri" w:hAnsi="Calibri"/>
                <w:b w:val="0"/>
                <w:color w:val="17212B"/>
                <w:sz w:val="17"/>
              </w:rPr>
              <w:t>Discovery/evaluation environment loading</w:t>
            </w:r>
          </w:p>
        </w:tc>
        <w:tc>
          <w:tcPr>
            <w:tcW w:type="dxa" w:w="3760"/>
            <w:vAlign w:val="center"/>
            <w:tcMar>
              <w:top w:w="80" w:type="dxa"/>
              <w:start w:w="120" w:type="dxa"/>
              <w:bottom w:w="80" w:type="dxa"/>
              <w:end w:w="120" w:type="dxa"/>
            </w:tcMar>
          </w:tcPr>
          <w:p>
            <w:pPr>
              <w:spacing w:before="0" w:after="0" w:line="259" w:lineRule="auto"/>
            </w:pPr>
            <w:r/>
            <w:r>
              <w:rPr>
                <w:rFonts w:ascii="Calibri" w:hAnsi="Calibri"/>
                <w:b w:val="0"/>
                <w:color w:val="17212B"/>
                <w:sz w:val="17"/>
              </w:rPr>
              <w:t>Loads provider keys and local runtime configuration.</w:t>
            </w:r>
          </w:p>
        </w:tc>
      </w:tr>
      <w:tr>
        <w:trPr>
          <w:cantSplit w:val="true"/>
        </w:trPr>
        <w:tc>
          <w:tcPr>
            <w:tcW w:type="dxa" w:w="23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Pydantic settings</w:t>
            </w:r>
          </w:p>
        </w:tc>
        <w:tc>
          <w:tcPr>
            <w:tcW w:type="dxa" w:w="32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Application configuration</w:t>
            </w:r>
          </w:p>
        </w:tc>
        <w:tc>
          <w:tcPr>
            <w:tcW w:type="dxa" w:w="376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Typed .env-backed settings and range checks.</w:t>
            </w:r>
          </w:p>
        </w:tc>
      </w:tr>
      <w:tr>
        <w:trPr>
          <w:cantSplit w:val="true"/>
        </w:trPr>
        <w:tc>
          <w:tcPr>
            <w:tcW w:type="dxa" w:w="2350"/>
            <w:vAlign w:val="center"/>
            <w:tcMar>
              <w:top w:w="80" w:type="dxa"/>
              <w:start w:w="120" w:type="dxa"/>
              <w:bottom w:w="80" w:type="dxa"/>
              <w:end w:w="120" w:type="dxa"/>
            </w:tcMar>
          </w:tcPr>
          <w:p>
            <w:pPr>
              <w:spacing w:before="0" w:after="0" w:line="259" w:lineRule="auto"/>
            </w:pPr>
            <w:r/>
            <w:r>
              <w:rPr>
                <w:rFonts w:ascii="Calibri" w:hAnsi="Calibri"/>
                <w:b w:val="0"/>
                <w:color w:val="17212B"/>
                <w:sz w:val="17"/>
              </w:rPr>
              <w:t>Python standard library</w:t>
            </w:r>
          </w:p>
        </w:tc>
        <w:tc>
          <w:tcPr>
            <w:tcW w:type="dxa" w:w="3250"/>
            <w:vAlign w:val="center"/>
            <w:tcMar>
              <w:top w:w="80" w:type="dxa"/>
              <w:start w:w="120" w:type="dxa"/>
              <w:bottom w:w="80" w:type="dxa"/>
              <w:end w:w="120" w:type="dxa"/>
            </w:tcMar>
          </w:tcPr>
          <w:p>
            <w:pPr>
              <w:spacing w:before="0" w:after="0" w:line="259" w:lineRule="auto"/>
            </w:pPr>
            <w:r/>
            <w:r>
              <w:rPr>
                <w:rFonts w:ascii="Calibri" w:hAnsi="Calibri"/>
                <w:b w:val="0"/>
                <w:color w:val="17212B"/>
                <w:sz w:val="17"/>
              </w:rPr>
              <w:t>All stages</w:t>
            </w:r>
          </w:p>
        </w:tc>
        <w:tc>
          <w:tcPr>
            <w:tcW w:type="dxa" w:w="3760"/>
            <w:vAlign w:val="center"/>
            <w:tcMar>
              <w:top w:w="80" w:type="dxa"/>
              <w:start w:w="120" w:type="dxa"/>
              <w:bottom w:w="80" w:type="dxa"/>
              <w:end w:w="120" w:type="dxa"/>
            </w:tcMar>
          </w:tcPr>
          <w:p>
            <w:pPr>
              <w:spacing w:before="0" w:after="0" w:line="259" w:lineRule="auto"/>
            </w:pPr>
            <w:r/>
            <w:r>
              <w:rPr>
                <w:rFonts w:ascii="Calibri" w:hAnsi="Calibri"/>
                <w:b w:val="0"/>
                <w:color w:val="17212B"/>
                <w:sz w:val="17"/>
              </w:rPr>
              <w:t>sqlite3, pathlib, json, pickle, re, hashlib, uuid, dataclasses, argparse, csv, statistics, time.</w:t>
            </w:r>
          </w:p>
        </w:tc>
      </w:tr>
    </w:tbl>
    <w:p>
      <w:pPr>
        <w:spacing w:after="40"/>
      </w:pPr>
    </w:p>
    <w:p>
      <w:pPr>
        <w:keepLines w:val="0"/>
        <w:spacing w:after="120" w:line="264" w:lineRule="auto"/>
      </w:pPr>
      <w:r>
        <w:rPr>
          <w:rFonts w:ascii="Calibri" w:hAnsi="Calibri"/>
          <w:i/>
          <w:color w:val="5B6570"/>
        </w:rPr>
        <w:t>Declared but not directly used in the reviewed ingestion/processing/retrieval/evaluation implementation: pdfplumber, spaCy, NLTK, LangChain, LlamaIndex, SciPy, RAGAS, datasets, evaluate, tqdm, tenacity, joblib, diskcache, orjson, and several UI/API packages. They may support planned, optional, notebook, generation, or application layers, but they are not part of the active four-pipeline code path documented here.</w:t>
      </w:r>
    </w:p>
    <w:p>
      <w:pPr>
        <w:spacing w:before="40" w:after="160"/>
      </w:pPr>
      <w:r>
        <w:rPr>
          <w:rFonts w:ascii="Calibri" w:hAnsi="Calibri"/>
          <w:b/>
          <w:color w:val="5B6570"/>
          <w:sz w:val="17"/>
        </w:rPr>
        <w:t xml:space="preserve">Implementation sources: </w:t>
      </w:r>
      <w:r>
        <w:rPr>
          <w:rFonts w:ascii="Calibri" w:hAnsi="Calibri"/>
          <w:i/>
          <w:color w:val="5B6570"/>
          <w:sz w:val="17"/>
        </w:rPr>
        <w:t>requirements.txt, imports across ingestion/, processing/, retrieval/, evaluation/</w:t>
      </w:r>
    </w:p>
    <w:p>
      <w:pPr>
        <w:pStyle w:val="Heading1"/>
        <w:keepNext/>
      </w:pPr>
      <w:r>
        <w:t>Configuration alignment and recommended next steps</w:t>
      </w:r>
    </w:p>
    <w:tbl>
      <w:tblPr>
        <w:tblStyle w:val="TableGrid"/>
        <w:tblW w:type="dxa" w:w="9360"/>
        <w:jc w:val="left"/>
        <w:tblLayout w:type="fixed"/>
        <w:tblLook w:firstColumn="1" w:firstRow="1" w:lastColumn="0" w:lastRow="0" w:noHBand="0" w:noVBand="1" w:val="04A0"/>
        <w:tblInd w:w="120" w:type="dxa"/>
      </w:tblPr>
      <w:tblGrid>
        <w:gridCol w:w="950"/>
        <w:gridCol w:w="4200"/>
        <w:gridCol w:w="4210"/>
      </w:tblGrid>
      <w:tr>
        <w:trPr>
          <w:tblHeader w:val="true"/>
          <w:cantSplit w:val="true"/>
        </w:trPr>
        <w:tc>
          <w:tcPr>
            <w:tcW w:type="dxa" w:w="95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Priority</w:t>
            </w:r>
          </w:p>
        </w:tc>
        <w:tc>
          <w:tcPr>
            <w:tcW w:type="dxa" w:w="420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Finding</w:t>
            </w:r>
          </w:p>
        </w:tc>
        <w:tc>
          <w:tcPr>
            <w:tcW w:type="dxa" w:w="4210"/>
            <w:shd w:fill="18324A"/>
            <w:vAlign w:val="center"/>
            <w:tcMar>
              <w:top w:w="80" w:type="dxa"/>
              <w:start w:w="120" w:type="dxa"/>
              <w:bottom w:w="80" w:type="dxa"/>
              <w:end w:w="120" w:type="dxa"/>
            </w:tcMar>
          </w:tcPr>
          <w:p>
            <w:pPr>
              <w:spacing w:before="0" w:after="0" w:line="259" w:lineRule="auto"/>
            </w:pPr>
            <w:r/>
            <w:r>
              <w:rPr>
                <w:rFonts w:ascii="Calibri" w:hAnsi="Calibri"/>
                <w:b/>
                <w:color w:val="FFFFFF"/>
                <w:sz w:val="18"/>
              </w:rPr>
              <w:t>Recommended action</w:t>
            </w:r>
          </w:p>
        </w:tc>
      </w:tr>
      <w:tr>
        <w:trPr>
          <w:cantSplit w:val="true"/>
        </w:trPr>
        <w:tc>
          <w:tcPr>
            <w:tcW w:type="dxa" w:w="950"/>
            <w:vAlign w:val="center"/>
            <w:tcMar>
              <w:top w:w="80" w:type="dxa"/>
              <w:start w:w="120" w:type="dxa"/>
              <w:bottom w:w="80" w:type="dxa"/>
              <w:end w:w="120" w:type="dxa"/>
            </w:tcMar>
          </w:tcPr>
          <w:p>
            <w:pPr>
              <w:spacing w:before="0" w:after="0" w:line="259" w:lineRule="auto"/>
            </w:pPr>
            <w:r/>
            <w:r>
              <w:rPr>
                <w:rFonts w:ascii="Calibri" w:hAnsi="Calibri"/>
                <w:b w:val="0"/>
                <w:color w:val="17212B"/>
                <w:sz w:val="17"/>
              </w:rPr>
              <w:t>High</w:t>
            </w:r>
          </w:p>
        </w:tc>
        <w:tc>
          <w:tcPr>
            <w:tcW w:type="dxa" w:w="4200"/>
            <w:vAlign w:val="center"/>
            <w:tcMar>
              <w:top w:w="80" w:type="dxa"/>
              <w:start w:w="120" w:type="dxa"/>
              <w:bottom w:w="80" w:type="dxa"/>
              <w:end w:w="120" w:type="dxa"/>
            </w:tcMar>
          </w:tcPr>
          <w:p>
            <w:pPr>
              <w:spacing w:before="0" w:after="0" w:line="259" w:lineRule="auto"/>
            </w:pPr>
            <w:r/>
            <w:r>
              <w:rPr>
                <w:rFonts w:ascii="Calibri" w:hAnsi="Calibri"/>
                <w:b w:val="0"/>
                <w:color w:val="17212B"/>
                <w:sz w:val="17"/>
              </w:rPr>
              <w:t>Collection names differ: research_papers in Qdrant indexer vs ai_papers in settings/evaluation.</w:t>
            </w:r>
          </w:p>
        </w:tc>
        <w:tc>
          <w:tcPr>
            <w:tcW w:type="dxa" w:w="4210"/>
            <w:vAlign w:val="center"/>
            <w:tcMar>
              <w:top w:w="80" w:type="dxa"/>
              <w:start w:w="120" w:type="dxa"/>
              <w:bottom w:w="80" w:type="dxa"/>
              <w:end w:w="120" w:type="dxa"/>
            </w:tcMar>
          </w:tcPr>
          <w:p>
            <w:pPr>
              <w:spacing w:before="0" w:after="0" w:line="259" w:lineRule="auto"/>
            </w:pPr>
            <w:r/>
            <w:r>
              <w:rPr>
                <w:rFonts w:ascii="Calibri" w:hAnsi="Calibri"/>
                <w:b w:val="0"/>
                <w:color w:val="17212B"/>
                <w:sz w:val="17"/>
              </w:rPr>
              <w:t>Use one settings-derived collection name everywhere; remove constructor-level drift.</w:t>
            </w:r>
          </w:p>
        </w:tc>
      </w:tr>
      <w:tr>
        <w:trPr>
          <w:cantSplit w:val="true"/>
        </w:trPr>
        <w:tc>
          <w:tcPr>
            <w:tcW w:type="dxa" w:w="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High</w:t>
            </w:r>
          </w:p>
        </w:tc>
        <w:tc>
          <w:tcPr>
            <w:tcW w:type="dxa" w:w="4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Golden set can fall back to paper labels, and title-derived questions leak the answer source.</w:t>
            </w:r>
          </w:p>
        </w:tc>
        <w:tc>
          <w:tcPr>
            <w:tcW w:type="dxa" w:w="42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Complete top-20 chunk review; add independently authored paraphrases, hard negatives, and multi-relevant questions.</w:t>
            </w:r>
          </w:p>
        </w:tc>
      </w:tr>
      <w:tr>
        <w:trPr>
          <w:cantSplit w:val="true"/>
        </w:trPr>
        <w:tc>
          <w:tcPr>
            <w:tcW w:type="dxa" w:w="950"/>
            <w:vAlign w:val="center"/>
            <w:tcMar>
              <w:top w:w="80" w:type="dxa"/>
              <w:start w:w="120" w:type="dxa"/>
              <w:bottom w:w="80" w:type="dxa"/>
              <w:end w:w="120" w:type="dxa"/>
            </w:tcMar>
          </w:tcPr>
          <w:p>
            <w:pPr>
              <w:spacing w:before="0" w:after="0" w:line="259" w:lineRule="auto"/>
            </w:pPr>
            <w:r/>
            <w:r>
              <w:rPr>
                <w:rFonts w:ascii="Calibri" w:hAnsi="Calibri"/>
                <w:b w:val="0"/>
                <w:color w:val="17212B"/>
                <w:sz w:val="17"/>
              </w:rPr>
              <w:t>High</w:t>
            </w:r>
          </w:p>
        </w:tc>
        <w:tc>
          <w:tcPr>
            <w:tcW w:type="dxa" w:w="4200"/>
            <w:vAlign w:val="center"/>
            <w:tcMar>
              <w:top w:w="80" w:type="dxa"/>
              <w:start w:w="120" w:type="dxa"/>
              <w:bottom w:w="80" w:type="dxa"/>
              <w:end w:w="120" w:type="dxa"/>
            </w:tcMar>
          </w:tcPr>
          <w:p>
            <w:pPr>
              <w:spacing w:before="0" w:after="0" w:line="259" w:lineRule="auto"/>
            </w:pPr>
            <w:r/>
            <w:r>
              <w:rPr>
                <w:rFonts w:ascii="Calibri" w:hAnsi="Calibri"/>
                <w:b w:val="0"/>
                <w:color w:val="17212B"/>
                <w:sz w:val="17"/>
              </w:rPr>
              <w:t>Dense and BM25 artifacts can become unsynchronized.</w:t>
            </w:r>
          </w:p>
        </w:tc>
        <w:tc>
          <w:tcPr>
            <w:tcW w:type="dxa" w:w="4210"/>
            <w:vAlign w:val="center"/>
            <w:tcMar>
              <w:top w:w="80" w:type="dxa"/>
              <w:start w:w="120" w:type="dxa"/>
              <w:bottom w:w="80" w:type="dxa"/>
              <w:end w:w="120" w:type="dxa"/>
            </w:tcMar>
          </w:tcPr>
          <w:p>
            <w:pPr>
              <w:spacing w:before="0" w:after="0" w:line="259" w:lineRule="auto"/>
            </w:pPr>
            <w:r/>
            <w:r>
              <w:rPr>
                <w:rFonts w:ascii="Calibri" w:hAnsi="Calibri"/>
                <w:b w:val="0"/>
                <w:color w:val="17212B"/>
                <w:sz w:val="17"/>
              </w:rPr>
              <w:t>Add a pre-evaluation corpus reconciliation check on paper/chunk coverage and index version.</w:t>
            </w:r>
          </w:p>
        </w:tc>
      </w:tr>
      <w:tr>
        <w:trPr>
          <w:cantSplit w:val="true"/>
        </w:trPr>
        <w:tc>
          <w:tcPr>
            <w:tcW w:type="dxa" w:w="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Medium</w:t>
            </w:r>
          </w:p>
        </w:tc>
        <w:tc>
          <w:tcPr>
            <w:tcW w:type="dxa" w:w="4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Architecture notes mention 50% overlap, while code and README implement 80/512.</w:t>
            </w:r>
          </w:p>
        </w:tc>
        <w:tc>
          <w:tcPr>
            <w:tcW w:type="dxa" w:w="42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Update the architecture document and treat code/config as the source of truth.</w:t>
            </w:r>
          </w:p>
        </w:tc>
      </w:tr>
      <w:tr>
        <w:trPr>
          <w:cantSplit w:val="true"/>
        </w:trPr>
        <w:tc>
          <w:tcPr>
            <w:tcW w:type="dxa" w:w="950"/>
            <w:vAlign w:val="center"/>
            <w:tcMar>
              <w:top w:w="80" w:type="dxa"/>
              <w:start w:w="120" w:type="dxa"/>
              <w:bottom w:w="80" w:type="dxa"/>
              <w:end w:w="120" w:type="dxa"/>
            </w:tcMar>
          </w:tcPr>
          <w:p>
            <w:pPr>
              <w:spacing w:before="0" w:after="0" w:line="259" w:lineRule="auto"/>
            </w:pPr>
            <w:r/>
            <w:r>
              <w:rPr>
                <w:rFonts w:ascii="Calibri" w:hAnsi="Calibri"/>
                <w:b w:val="0"/>
                <w:color w:val="17212B"/>
                <w:sz w:val="17"/>
              </w:rPr>
              <w:t>Medium</w:t>
            </w:r>
          </w:p>
        </w:tc>
        <w:tc>
          <w:tcPr>
            <w:tcW w:type="dxa" w:w="4200"/>
            <w:vAlign w:val="center"/>
            <w:tcMar>
              <w:top w:w="80" w:type="dxa"/>
              <w:start w:w="120" w:type="dxa"/>
              <w:bottom w:w="80" w:type="dxa"/>
              <w:end w:w="120" w:type="dxa"/>
            </w:tcMar>
          </w:tcPr>
          <w:p>
            <w:pPr>
              <w:spacing w:before="0" w:after="0" w:line="259" w:lineRule="auto"/>
            </w:pPr>
            <w:r/>
            <w:r>
              <w:rPr>
                <w:rFonts w:ascii="Calibri" w:hAnsi="Calibri"/>
                <w:b w:val="0"/>
                <w:color w:val="17212B"/>
                <w:sz w:val="17"/>
              </w:rPr>
              <w:t>Top-k values exist in settings and in class/CLI defaults.</w:t>
            </w:r>
          </w:p>
        </w:tc>
        <w:tc>
          <w:tcPr>
            <w:tcW w:type="dxa" w:w="4210"/>
            <w:vAlign w:val="center"/>
            <w:tcMar>
              <w:top w:w="80" w:type="dxa"/>
              <w:start w:w="120" w:type="dxa"/>
              <w:bottom w:w="80" w:type="dxa"/>
              <w:end w:w="120" w:type="dxa"/>
            </w:tcMar>
          </w:tcPr>
          <w:p>
            <w:pPr>
              <w:spacing w:before="0" w:after="0" w:line="259" w:lineRule="auto"/>
            </w:pPr>
            <w:r/>
            <w:r>
              <w:rPr>
                <w:rFonts w:ascii="Calibri" w:hAnsi="Calibri"/>
                <w:b w:val="0"/>
                <w:color w:val="17212B"/>
                <w:sz w:val="17"/>
              </w:rPr>
              <w:t>Construct components from one validated settings object and record the resolved config in every index/evaluation artifact.</w:t>
            </w:r>
          </w:p>
        </w:tc>
      </w:tr>
      <w:tr>
        <w:trPr>
          <w:cantSplit w:val="true"/>
        </w:trPr>
        <w:tc>
          <w:tcPr>
            <w:tcW w:type="dxa" w:w="95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Medium</w:t>
            </w:r>
          </w:p>
        </w:tc>
        <w:tc>
          <w:tcPr>
            <w:tcW w:type="dxa" w:w="420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Reranking and MMR add substantial latency and have not yet shown validated chunk-level lift.</w:t>
            </w:r>
          </w:p>
        </w:tc>
        <w:tc>
          <w:tcPr>
            <w:tcW w:type="dxa" w:w="4210"/>
            <w:shd w:fill="F8FAFC"/>
            <w:vAlign w:val="center"/>
            <w:tcMar>
              <w:top w:w="80" w:type="dxa"/>
              <w:start w:w="120" w:type="dxa"/>
              <w:bottom w:w="80" w:type="dxa"/>
              <w:end w:w="120" w:type="dxa"/>
            </w:tcMar>
          </w:tcPr>
          <w:p>
            <w:pPr>
              <w:spacing w:before="0" w:after="0" w:line="259" w:lineRule="auto"/>
            </w:pPr>
            <w:r/>
            <w:r>
              <w:rPr>
                <w:rFonts w:ascii="Calibri" w:hAnsi="Calibri"/>
                <w:b w:val="0"/>
                <w:color w:val="17212B"/>
                <w:sz w:val="17"/>
              </w:rPr>
              <w:t>Keep them configurable; promote to default only after reviewed-label lift and latency targets are met.</w:t>
            </w:r>
          </w:p>
        </w:tc>
      </w:tr>
      <w:tr>
        <w:trPr>
          <w:cantSplit w:val="true"/>
        </w:trPr>
        <w:tc>
          <w:tcPr>
            <w:tcW w:type="dxa" w:w="950"/>
            <w:vAlign w:val="center"/>
            <w:tcMar>
              <w:top w:w="80" w:type="dxa"/>
              <w:start w:w="120" w:type="dxa"/>
              <w:bottom w:w="80" w:type="dxa"/>
              <w:end w:w="120" w:type="dxa"/>
            </w:tcMar>
          </w:tcPr>
          <w:p>
            <w:pPr>
              <w:spacing w:before="0" w:after="0" w:line="259" w:lineRule="auto"/>
            </w:pPr>
            <w:r/>
            <w:r>
              <w:rPr>
                <w:rFonts w:ascii="Calibri" w:hAnsi="Calibri"/>
                <w:b w:val="0"/>
                <w:color w:val="17212B"/>
                <w:sz w:val="17"/>
              </w:rPr>
              <w:t>Low</w:t>
            </w:r>
          </w:p>
        </w:tc>
        <w:tc>
          <w:tcPr>
            <w:tcW w:type="dxa" w:w="4200"/>
            <w:vAlign w:val="center"/>
            <w:tcMar>
              <w:top w:w="80" w:type="dxa"/>
              <w:start w:w="120" w:type="dxa"/>
              <w:bottom w:w="80" w:type="dxa"/>
              <w:end w:w="120" w:type="dxa"/>
            </w:tcMar>
          </w:tcPr>
          <w:p>
            <w:pPr>
              <w:spacing w:before="0" w:after="0" w:line="259" w:lineRule="auto"/>
            </w:pPr>
            <w:r/>
            <w:r>
              <w:rPr>
                <w:rFonts w:ascii="Calibri" w:hAnsi="Calibri"/>
                <w:b w:val="0"/>
                <w:color w:val="17212B"/>
                <w:sz w:val="17"/>
              </w:rPr>
              <w:t>requirements.txt contains many unused packages and one misleading async comment for httpx.</w:t>
            </w:r>
          </w:p>
        </w:tc>
        <w:tc>
          <w:tcPr>
            <w:tcW w:type="dxa" w:w="4210"/>
            <w:vAlign w:val="center"/>
            <w:tcMar>
              <w:top w:w="80" w:type="dxa"/>
              <w:start w:w="120" w:type="dxa"/>
              <w:bottom w:w="80" w:type="dxa"/>
              <w:end w:w="120" w:type="dxa"/>
            </w:tcMar>
          </w:tcPr>
          <w:p>
            <w:pPr>
              <w:spacing w:before="0" w:after="0" w:line="259" w:lineRule="auto"/>
            </w:pPr>
            <w:r/>
            <w:r>
              <w:rPr>
                <w:rFonts w:ascii="Calibri" w:hAnsi="Calibri"/>
                <w:b w:val="0"/>
                <w:color w:val="17212B"/>
                <w:sz w:val="17"/>
              </w:rPr>
              <w:t>Split core, optional, generation, UI/API, and development requirements to improve reproducibility.</w:t>
            </w:r>
          </w:p>
        </w:tc>
      </w:tr>
    </w:tbl>
    <w:p>
      <w:pPr>
        <w:spacing w:after="40"/>
      </w:pPr>
    </w:p>
    <w:p>
      <w:pPr>
        <w:pStyle w:val="Heading1"/>
        <w:keepNext/>
        <w:pageBreakBefore/>
      </w:pPr>
      <w:r>
        <w:t>Limitations and further questions</w:t>
      </w:r>
    </w:p>
    <w:p>
      <w:pPr>
        <w:pStyle w:val="ListBullet"/>
        <w:spacing w:after="80" w:line="276" w:lineRule="auto"/>
      </w:pPr>
      <w:r>
        <w:rPr>
          <w:rFonts w:ascii="Calibri" w:hAnsi="Calibri"/>
          <w:color w:val="17212B"/>
        </w:rPr>
        <w:t>This report is a static code review of the checked-out repository. It does not claim that external services, model files, PDFs, Qdrant contents, or evaluation artifacts are currently available.</w:t>
      </w:r>
    </w:p>
    <w:p>
      <w:pPr>
        <w:pStyle w:val="ListBullet"/>
        <w:spacing w:after="80" w:line="276" w:lineRule="auto"/>
      </w:pPr>
      <w:r>
        <w:rPr>
          <w:rFonts w:ascii="Calibri" w:hAnsi="Calibri"/>
          <w:color w:val="17212B"/>
        </w:rPr>
        <w:t>The full test suite could not be executed with the bundled artifact runtime because pytest is not installed there; implementation behavior was therefore derived from source code, unit-test inventory, README evidence, and explicit validation logic.</w:t>
      </w:r>
    </w:p>
    <w:p>
      <w:pPr>
        <w:pStyle w:val="ListBullet"/>
        <w:spacing w:after="80" w:line="276" w:lineRule="auto"/>
      </w:pPr>
      <w:r>
        <w:rPr>
          <w:rFonts w:ascii="Calibri" w:hAnsi="Calibri"/>
          <w:color w:val="17212B"/>
        </w:rPr>
        <w:t>Parameter rationales are engineering interpretations of the implemented defaults. They should be confirmed with chunk-level retrieval experiments on the intended corpus and hardware.</w:t>
      </w:r>
    </w:p>
    <w:p>
      <w:pPr>
        <w:pStyle w:val="ListBullet"/>
        <w:spacing w:after="80" w:line="276" w:lineRule="auto"/>
      </w:pPr>
      <w:r>
        <w:rPr>
          <w:rFonts w:ascii="Calibri" w:hAnsi="Calibri"/>
          <w:color w:val="17212B"/>
        </w:rPr>
        <w:t>The generation pipeline is out of scope because the requested stages were ingestion, processing, retrieval, and evaluation.</w:t>
      </w:r>
    </w:p>
    <w:p>
      <w:pPr>
        <w:pStyle w:val="Heading1"/>
        <w:keepNext/>
      </w:pPr>
      <w:r>
        <w:t>Source inventory</w:t>
      </w:r>
    </w:p>
    <w:p>
      <w:pPr>
        <w:keepLines w:val="0"/>
        <w:spacing w:after="120" w:line="264" w:lineRule="auto"/>
      </w:pPr>
      <w:r>
        <w:rPr>
          <w:rFonts w:ascii="Calibri" w:hAnsi="Calibri"/>
          <w:i w:val="0"/>
          <w:color w:val="17212B"/>
        </w:rPr>
        <w:t>Primary evidence reviewed: README.md; RAG-AI_Research_papers-Architecture.md; requirements.txt; config/settings.py; all Python modules under ingestion/, processing/, retrieval/, and evaluation/; and the retrieval testbench builder. Paths are relative to the repository root.</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0"/>
        <w:sz w:val="17"/>
      </w:rPr>
      <w:t xml:space="preserve">Implementation snapshot - 3 August 2026  |  Page </w:t>
    </w:r>
    <w:r>
      <w:rPr>
        <w:rFonts w:ascii="Calibri" w:hAnsi="Calibri"/>
        <w:color w:val="5B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0"/>
        <w:sz w:val="17"/>
      </w:rPr>
      <w:t>RAG Research Papers | Pipeline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Research Papers - Pipeline Technical Report</dc:title>
  <dc:subject>Ingestion, processing, retrieval, and evaluation implementation</dc:subject>
  <dc:creator>Codex</dc:creator>
  <cp:keywords>RAG, ingestion, processing, retrieval, evaluation, Qdrant, BM25</cp:keywords>
  <dc:description>generated by python-docx</dc:description>
  <cp:lastModifiedBy/>
  <cp:revision>1</cp:revision>
  <dcterms:created xsi:type="dcterms:W3CDTF">2013-12-23T23:15:00Z</dcterms:created>
  <dcterms:modified xsi:type="dcterms:W3CDTF">2013-12-23T23:15:00Z</dcterms:modified>
  <cp:category/>
</cp:coreProperties>
</file>