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48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Tumor Microenvironment Imaging Signatures for Predicting Immunotherapy Response in Melanoma: A Multiplexed Ion Beam Imaging Feasibility Analysis</w:t>
      </w:r>
    </w:p>
    <w:p>
      <w:pPr>
        <w:spacing w:after="0" w:line="480" w:lineRule="auto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Short title: Imaging signatures of immunotherapy response in melanoma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Abstract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Background: Multiplexed ion beam imaging (MIBI) resolves the spatial organization of the tumor microenvironment (TME) at single-cell resolution. Whether MIBI-derived spatial features of the melanoma TME predict response to immunotherapy remains incompletely established in small, publicly available cohorts.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Methods: We analyzed a publicly available, processed MIBI dataset of 54 melanoma patients treated with immunotherapy (54,989 segmented cells, 29-marker protein panel, cell centroid coordinates). Cells were assigned to lineages (tumor, T-cell subsets, B cells, NK cells, myeloid cells, endothelium, stroma, lymphatics) using per-marker 80th-percentile positivity gating. Per-patient features were engineered across four domains: immune cell density, spatial proximity (nearest-neighbor distance, NND), spatial clustering (a Ripley's K-derived index), and PD-L1 expression. A random forest classifier was evaluated for responder (CR/PR) versus non-responder (SD/PD) discrimination using leave-one-out cross-validation (LOOCV), pre-specifying an 11-feature hypothesis-driven model. Baseline clinical stage was evaluated as a comparator.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Results: The pre-specified imaging-feature classifier did not discriminate responders from non-responders (LOOCV AUC = 0.33, accuracy 44%), performing worse than chance. No individual imaging feature reached statistical significance in univariate comparison (all p &gt; 0.10), although CD8+ T-cell fraction and CD8+T-to-tumor proximity trended in the biologically expected direction. Baseline clinical stage alone significantly discriminated response (LOOCV AUC = 0.60; Spearman rho = -0.41, p = 0.002).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Conclusions: In this small, single-cohort feasibility analysis, MIBI-derived spatial and compositional TME features did not provide a validated predictive biomarker of immunotherapy response and did not outperform simple clinical staging. These results argue for cautious interpretation of small-cohort spatial-imaging biomarker studies and for validation in larger, multi-cohort datasets before clinical application.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Keywords: multiplexed ion beam imaging; tumor microenvironment; melanoma; immunotherapy; biomarker; spatial analysis; PD-L1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Introduction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Immune checkpoint blockade has transformed the treatment of advanced melanoma, but only a subset of patients achieve durable responses, and pre-treatment biomarkers that reliably predict benefit remain limited in clinical practice. The tumor microenvironment (TME) - the spatial arrangement and composition of tumor, immune, and stromal cells within a lesion - has long been proposed as a source of predictive information beyond bulk molecular assays, since spatial context (e.g., whether cytotoxic T cells infiltrate the tumor core, are excluded to the tumor margin, or are absent altogether) is associated with response to anti-PD-1 therapy in melanoma.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Multiplexed ion beam imaging (MIBI) enables simultaneous, spatially resolved quantification of dozens of proteins at single-cell resolution in intact tissue sections, making it well suited to testing whether TME spatial organization carries predictive information. We used a publicly available, previously processed MIBI dataset of 54 melanoma patients who received immunotherapy to ask a focused question: can imaging-derived features of immune cell density, spatial proximity, spatial clustering, and PD-L1 expression predict binary response to immunotherapy, and how does any such signature compare with a single readily available clinical variable (stage at diagnosis)?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We pre-specified our feature-engineering and modeling plan around four analysis domains (density, proximity, clustering, PD-L1/clinical correlation) before examining outcome associations, and we report results from that pre-specified analysis alongside an honest account of the methodological decisions and their limitations, documented in full in an accompanying workflow decisions log.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Methods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source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We used a processed, publicly available MIBI dataset (Mendeley Data, DOI 10.17632/79y7bht7tf.1; Vesely and Johnson, Yale University School of Medicine), comprising 54 melanoma patients who received immunotherapy. The dataset provided, per cell: denoised and normalized expression of 29 proteins, centroid (x, y) coordinates and estimated cell area, and patient-level clinical variables (age tertile, stage at diagnosis, and binary and multi-category [CR/PR/SD/PD] RECIST-based response). The dataset contained 54,989 segmented cells (mean 1,018 per patient, range 489-1,784), with no missing values in any of the three source files.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Cell-lineage assignment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Because the 29-marker panel includes markers for tumor cells (SOX10), endothelium (CD31), stroma (smooth muscle actin), lymphatics (podoplanin), and myeloid cells (CD68, CD163, CD11b, CD11c, CD14) in addition to T-cell markers, all segmented cells were treated as the full cellular content of the imaged tumor microenvironment rather than a pre-sorted T-cell-only population (see Workflow Decisions Log, Decision 1). Unsupervised k-means clustering and two-component Gaussian mixture model gating were both evaluated for cell-lineage assignment and rejected because marker distributions were heavily zero-inflated, causing both methods to separate near-zero background signal rather than biologically distinct populations (Decision 2). We instead used per-marker positivity thresholds set at the 80th percentile of that marker's pooled expression across all cells, combined with a fixed-priority hierarchical decision rule (tumor &gt; T-cell subsets/B/NK/myeloid &gt; endothelial &gt; lymphatic &gt; stromal &gt; unclassified) to assign each cell to a single lineage.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engineering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For each patient we computed: (1) cell-type composition (percentage of each lineage) and density, normalized to convex-hull tissue area in the absence of a provided pixel-to-micron calibration (Decision 3); (2) spatial proximity, defined as the mean nearest-neighbor distance (NND) from CD8+ T cells to the nearest tumor cell and to the nearest myeloid cell (Decision 4); (3) a spatial clustering index for immune cells, derived from a bivariate Ripley's K statistic at a fixed radius of 50 pixels, normalized to the value expected under complete spatial randomness (Decision 6); and (4) PD-L1 expression, summarized as the mean expression in tumor cells, in immune cells, and overall, plus the percentage of PD-L1-positive cells using the same 80th-percentile convention. Four patients had no detectable CD8+ T cells and/or tumor cells under the gating scheme; per explicit analysis decision, these were coded as a distinct 'immune desert' category via binary indicator flags rather than treated as missing data (Decision 5).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analysis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Binary response (responder = CR/PR, non-responder = SD/PD, per the dataset's response_binary field) was the primary outcome. Group comparisons for individual features used the Mann-Whitney U test; the relationship between ordinal clinical stage and response used Spearman correlation and chi-square test of independence. A random forest classifier (500 trees, maximum depth 2-4, minimum leaf size 4) was evaluated using leave-one-out cross-validation (LOOCV), which was chosen over a single train/test split or k-fold CV to make full use of the small sample (n=54) while avoiding information leakage. We pre-specified an 11-feature model reflecting the four analysis domains above as the confirmatory analysis; a 35-feature model using all engineered variables was evaluated as an exploratory comparison only. A logistic regression model using clinical stage alone (ordinal, stage I-IV) was evaluated identically as a baseline comparator. All analyses were performed in Python (pandas, scikit-learn, scipy, scipy.spatial). No data were excluded from the cohort. The complete, locked analytical dataset (54 patients x 44 features) and all analytical decisions are provided as supplementary files.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Results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Cohort characteristics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Of 54 patients, 23 (43%) were classified as responders (CR/PR) and 31 (57%) as non-responders (SD/PD). Stage distribution was: stage I, 8 patients; stage II, 11; stage III, 23; stage IV, 12 (Table 1). Age at diagnosis was distributed approximately evenly across tertiles (19/17/18 patients).</w:t>
      </w:r>
    </w:p>
    <w:p>
      <w:pPr>
        <w:spacing w:after="80" w:before="120" w:line="4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1. Cohort characteristics (n = 54).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050"/>
      </w:tblGrid>
      <w:tr>
        <w:tc>
          <w:tcPr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 (%)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Response: Responder (CR/PR)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(42.6%)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Response: Non-responder (SD/PD)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(57.4%)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(14.8%)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II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(20.4%)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III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 (42.6%)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IV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(22.2%)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tertile 1 (youngest)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 (35.2%)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tertile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(31.5%)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tertile 3 (oldest)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(33.3%)</w:t>
            </w:r>
          </w:p>
        </w:tc>
      </w:tr>
    </w:tbl>
    <w:p>
      <w:pPr>
        <w:spacing w:after="240" w:before="80" w:line="480" w:lineRule="auto"/>
        <w:jc w:val="left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CR, complete response; PR, partial response; SD, stable disease; PD, progressive disease.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Cell-lineage composition and representative spatial architecture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Across the cohort, the gating scheme classified a mean 16.4% of cells as tumor, 16.7% as endothelial, 20.0% as immune (summed T-cell/B/NK/myeloid subsets), 7.5% as stromal, and 6.7% as lymphatic; 32.6% of cells did not meet the positivity threshold for any lineage marker and were labeled unclassified. Figure 2 shows a representative single-patient spatial map illustrating the resulting tumor/immune/stromal architecture used to derive all subsequent features.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480" w:lineRule="auto"/>
        <w:jc w:val="left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Figure 1. Analysis workflow, from raw MIBI single-cell data through lineage gating, feature engineering, and leave-one-out cross-validated classification.</w:t>
      </w:r>
    </w:p>
    <w:p>
      <w:pPr>
        <w:spacing w:after="8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480" w:lineRule="auto"/>
        <w:jc w:val="left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Figure 2. Representative single-patient spatial map of assigned cell lineages (patient R10C2), plotted at cell centroid coordinates.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Imaging-derived features by response group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Table 2 summarizes the pre-specified imaging features by response group. No feature reached statistical significance (all p &gt; 0.10). CD8+ T-cell fraction was numerically higher in responders (median 1.3% vs. 0.8%, p = 0.137), and CD8+T-to-tumor and CD8+T-to-myeloid proximity were numerically shorter (closer) in responders, consistent with the expected direction of a T-cell-infiltrated, non-excluded phenotype, but neither reached significance (p = 0.211 and p = 0.278, respectively). PD-L1 expression (tumor, immune, or overall) and the Ripley's K immune-clustering index did not differ meaningfully between groups.</w:t>
      </w:r>
    </w:p>
    <w:p>
      <w:pPr>
        <w:spacing w:after="80" w:before="120" w:line="48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2. Imaging-derived features by response group.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60"/>
        <w:gridCol w:w="2160"/>
        <w:gridCol w:w="1620"/>
      </w:tblGrid>
      <w:tr>
        <w:tc>
          <w:tcPr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Responder
median [IQR]</w:t>
            </w:r>
          </w:p>
        </w:tc>
        <w:tc>
          <w:tcPr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Non-responder
median [IQR]</w:t>
            </w:r>
          </w:p>
        </w:tc>
        <w:tc>
          <w:tcPr>
            <w:tcBorders>
              <w:top w:val="single" w:color="000000" w:sz="12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immune cell fraction (%)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18.0 [12.2–27.1]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18.9 [12.0–23.6]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CD8+ T-cell fraction (%)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 [0.51–3.33]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 [0.27–1.86]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0.137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CD8+ T-cell density (cells/1000 px²)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0.0101 [0.0056–0.0329]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0.0091 [0.0025–0.0198]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CD8+T-to-tumor mean NND (px)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92.9 [50.5–120]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[58.3–181]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CD8+T-to-myeloid mean NND (px)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84.6 [63.3–112]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 [61.6–153]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0.278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Immune-immune mean NND (px)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38.1 [31.9–44.3]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39.2 [34.2–48.0]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0.363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Immune Ripley's K clustering index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0.168 [0.069–0.396]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0.216 [0.094–0.530]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0.564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tumor-cell PD-L1 expression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0.0083 [0.0062–0.0133]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0.0073 [0.0040–0.0119]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Mean immune-cell PD-L1 expression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0.0141 [0.0077–0.0222]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0.0113 [0.0087–0.0165]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0.540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PD-L1-positive cells, all types (%)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21.7 [9.1–34.0]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14.1 [8.8–24.8]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Tumor cell fraction (%)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13.3 [6.1–20.4]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 [5.7–20.7]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0.875</w:t>
            </w:r>
          </w:p>
        </w:tc>
      </w:tr>
    </w:tbl>
    <w:p>
      <w:pPr>
        <w:spacing w:after="240" w:before="80" w:line="480" w:lineRule="auto"/>
        <w:jc w:val="left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Values are median [interquartile range]. p-values from two-sided Mann-Whitney U tests, uncorrected for multiple comparisons. NND, nearest-neighbor distance; IQR, interquartile range.</w:t>
      </w:r>
    </w:p>
    <w:p>
      <w:pPr>
        <w:spacing w:after="80" w:before="160"/>
        <w:jc w:val="center"/>
      </w:pPr>
      <w:r>
        <w:drawing>
          <wp:inline distT="0" distB="0" distL="0" distR="0">
            <wp:extent cx="4762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480" w:lineRule="auto"/>
        <w:jc w:val="left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Figure 3. Distribution of four representative imaging features by response group. Boxes show median and interquartile range; points show individual patients. None of the four comparisons reached statistical significance (Table 2).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Classifier performance and comparison with clinical stage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The pre-specified 11-feature random forest classifier, evaluated by leave-one-out cross-validation, achieved an AUC of 0.33 (accuracy 44%), performing worse than chance (Figure 4). The exploratory 35-feature model performed similarly poorly (AUC 0.27-0.36 across tested tree depths). By contrast, a logistic regression model using only clinical stage at diagnosis (ordinal, stage I-IV) achieved an LOOCV AUC of 0.60, and stage was significantly associated with response (Spearman rho = -0.41, p = 0.002; chi-square test of independence across stage categories, p = 0.026): response rates were 75% (6/8) in stage I, 64% (7/11) in stage II, 35% (8/23) in stage III, and 17% (2/12) in stage IV.</w:t>
      </w:r>
    </w:p>
    <w:p>
      <w:pPr>
        <w:spacing w:after="80" w:before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480" w:lineRule="auto"/>
        <w:jc w:val="left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Figure 4. Receiver operating characteristic curve for the pre-specified 11-feature imaging classifier under leave-one-out cross-validation (AUC = 0.33), plotted against the chance diagonal (AUC = 0.50).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Discussion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 this feasibility analysis of a publicly available, 54-patient MIBI dataset, imaging-derived spatial and compositional features of the melanoma tumor microenvironment did not provide a validated predictive biomarker of immunotherapy response, and a pre-specified classifier built from these features performed worse than chance under honest leave-one-out cross-validation. This negative result stands in contrast to a substantial published literature linking CD8+ T-cell infiltration, spatial exclusion, and myeloid-T-cell proximity to immunotherapy response in melanoma. Two individual features here - CD8+ T-cell fraction and CD8+T-to-tumor proximity - trended in the expected biological direction, but the effect sizes were small relative to what a 54-patient cohort can resolve, and neither reached statistical significance.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Notably, a single readily available clinical variable - stage at diagnosis - significantly outperformed the full imaging-feature classifier in this cohort (LOOCV AUC 0.60 versus 0.33). This comparison is, in our view, the most clinically relevant finding of this analysis: it argues against over-interpreting small-cohort spatial-biomarker signals in isolation, and for benchmarking any proposed imaging biomarker against simple, already-available clinical covariates before ascribing it independent predictive value.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Several methodological factors likely limit the sensitivity of this analysis and should inform interpretation. First, cell-lineage assignment relied on a percentile-based gating threshold (80th percentile per marker) rather than a validated clinical cutoff, chosen because the marker expression distributions were too zero-inflated for standard unsupervised or mixture-model gating to succeed; misclassification of cell lineages would attenuate any true biological signal. Second, no pixel-to-physical-area calibration was available, so density features are reported in arbitrary units, and no edge correction was applied to nearest-neighbor or Ripley's K calculations, which can bias spatial statistics for cells near tissue-section boundaries. Third, and most importantly, a sample of 54 patients provides limited statistical power to detect small-to-moderate effect sizes, particularly once multiple candidate features are considered; a classifier evaluated by LOOCV on this sample size has wide confidence intervals around any point estimate of AUC.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These limitations do not indicate that MIBI-based spatial biomarkers are uninformative in melanoma immunotherapy; rather, they indicate that this particular 54-patient dataset, analyzed with this feature-engineering and gating strategy, does not support a validated classifier, and that any imaging biomarker proposed on the basis of small single-cohort analyses of this kind should be treated as hypothesis-generating rather than confirmatory. Larger, ideally multi-institutional MIBI cohorts with harmonized cell-segmentation and gating pipelines, and pre-registered analysis plans benchmarked explicitly against clinical covariates, are needed before spatial TME imaging features can be considered for clinical decision support in melanoma immunotherapy.</w:t>
      </w:r>
    </w:p>
    <w:p>
      <w:pPr>
        <w:pStyle w:val="Heading2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Limitations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This analysis has several limitations beyond those discussed above: (1) it is a single-cohort, retrospective, hypothesis-generating analysis without an independent validation cohort; (2) cell-lineage gating thresholds were not validated against orthogonal ground truth (e.g., pathologist-annotated regions); (3) tissue area was approximated by the convex hull of cell centroids in the absence of provided image calibration; (4) multiple comparisons across engineered features were not formally corrected, though our pre-specification of a reduced feature set was intended to limit this risk; and (5) the dataset's response labels reflect RECIST-based clinical response criteria whose relationship to the specific timing of the imaged tissue sample (e.g., pre- versus on-treatment biopsy) was not independently verifiable from the processed data provided.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Conclusions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MIBI-derived spatial and compositional features of the melanoma tumor microenvironment did not predict immunotherapy response in this 54-patient feasibility analysis, and did not outperform baseline clinical stage. CD8+ T-cell infiltration and tumor proximity trended in the expected direction without reaching significance. These results support cautious, well-powered, and clinically-benchmarked validation of spatial imaging biomarkers before their adoption as predictive tools in melanoma immunotherapy.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and code availability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The source dataset is publicly available at Mendeley Data (DOI 10.17632/79y7bht7tf.1). The locked analytical dataset (analytical_dataset.csv) and a complete log of analytical decisions (Workflow_Decisions.docx) generated during this analysis are provided as supplementary files.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Acknowledgments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We thank the original data contributors (M. Vesely, D. Johnson, Yale University School of Medicine) for making the processed MIBI dataset publicly available.</w:t>
      </w:r>
    </w:p>
    <w:p>
      <w:pPr>
        <w:pStyle w:val="Heading1"/>
        <w:spacing w:after="120" w:before="240" w:line="48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References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1. Ptacek J, Vesely MD, Rimm D, et al. Characterization of the tumor microenvironment in melanoma using Multiplexed Ion Beam Imaging (MIBI). J Immunother Cancer. 2021;9(Suppl 3):A59.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2. Vesely MD, Johnson D. Processed Multiplexed Ion Beam Imaging (MIBI) of tumor microenvironments of 54 melanoma samples following immunotherapy. Mendeley Data, V1, 2025. DOI: 10.17632/79y7bht7tf.1.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3. Tumeh PC, Harview CL, Yearley JH, et al. PD-1 blockade induces responses by inhibiting adaptive immune resistance. Nature. 2014;515(7528):568-571.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4. Keren L, Bosse M, Marquez D, et al. A structured tumor-immune microenvironment revealed by multiplexed ion beam imaging. Cell. 2018;174(6):1373-1387.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5. Society for Immunotherapy of Cancer. SITC cancer immunotherapy resource document: a compass in the land of biomarker discovery. J Immunother Cancer. 2020.</w:t>
      </w:r>
    </w:p>
    <w:p>
      <w:pPr>
        <w:spacing w:after="0" w:line="48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6. Ripley BD. The second-order analysis of stationary point processes. J Appl Probab. 1977;13(2):255-266.</w:t>
      </w:r>
    </w:p>
    <w:sectPr>
      <w:pgSz w:w="12240" w:h="15840" w:orient="portrait"/>
      <w:pgMar w:top="1440" w:right="1440" w:bottom="1440" w:left="1440" w:header="708" w:footer="708" w:gutter="0"/>
      <w:lnNumType w:countBy="1" w:restart="continuous" w:distance="24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2dbf20bf1fd2a87404baf4bc233c640b5bc706.png"/><Relationship Id="rId8" Type="http://schemas.openxmlformats.org/officeDocument/2006/relationships/image" Target="media/501df2c06a0c745157fb36e86429b82d7aaaf71d.png"/><Relationship Id="rId9" Type="http://schemas.openxmlformats.org/officeDocument/2006/relationships/image" Target="media/59da28bf54d0121454950bf483f9a83bc87cdad8.png"/><Relationship Id="rId10" Type="http://schemas.openxmlformats.org/officeDocument/2006/relationships/image" Target="media/349767af05ece5871484e388124766ae1e22e23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2026-07-11T21:29:40.742Z</dcterms:created>
  <dcterms:modified xsi:type="dcterms:W3CDTF">2026-07-11T21:29:40.743Z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