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Workflow Decisions Log</w:t>
      </w:r>
    </w:p>
    <w:p>
      <w:pPr>
        <w:spacing w:after="160"/>
      </w:pPr>
      <w:r>
        <w:rPr>
          <w:i/>
          <w:iCs/>
        </w:rPr>
        <w:t xml:space="preserve">Tumor Microenvironment Imaging Signatures Predicting Immunotherapy Response in Melanoma</w:t>
      </w:r>
    </w:p>
    <w:p>
      <w:pPr>
        <w:spacing w:after="160"/>
      </w:pPr>
      <w:r>
        <w:t xml:space="preserve">This document records every analytical decision made during the analysis, in the order it was made, together with the rationale. It is intended as the audit trail behind analytical_dataset.csv and the accompanying manuscript.</w:t>
      </w:r>
    </w:p>
    <w:p>
      <w:pPr>
        <w:pStyle w:val="Heading1"/>
        <w:spacing w:after="120" w:before="240"/>
      </w:pPr>
      <w:r>
        <w:t xml:space="preserve">Decision 1 — Interpretation of cell population identity</w:t>
      </w:r>
    </w:p>
    <w:p>
      <w:pPr>
        <w:spacing w:after="160"/>
      </w:pPr>
      <w:r>
        <w:rPr>
          <w:i/>
          <w:iCs/>
          <w:sz w:val="20"/>
          <w:szCs w:val="20"/>
        </w:rPr>
        <w:t xml:space="preserve">Step: initial data audit</w:t>
      </w:r>
    </w:p>
    <w:p>
      <w:pPr>
        <w:spacing w:after="160"/>
      </w:pPr>
      <w:r>
        <w:t xml:space="preserve">The Mendeley dataset description labels the per-cell records as 'T-cells,' but the 29-marker panel includes lineage markers for melanoma tumor cells (SOX10), endothelium (CD31), stroma (SMA), lymphatics (Podoplanin), and myeloid cells (CD68/CD163/CD11b/CD11c/CD14), in addition to T-cell markers (CD3/CD4/CD8/FOXP3). The associated source publication (Vesely et al., JITC 2021 Suppl. 3, abstract 52) describes the method as resolving phenotypic heterogeneity across the tumor microenvironment broadly, not a T-cell-sorted population.</w:t>
      </w:r>
    </w:p>
    <w:p>
      <w:pPr>
        <w:spacing w:after="200"/>
      </w:pPr>
      <w:r>
        <w:rPr>
          <w:b/>
          <w:bCs/>
        </w:rPr>
        <w:t xml:space="preserve">Decision / rationale: </w:t>
      </w:r>
      <w:r>
        <w:t xml:space="preserve">Decision: all 54,989 segmented cells were treated as the full set of imaged cells within each tumor microenvironment sample, and lineage identity was assigned computationally from the marker panel rather than assumed from the dataset label. This interpretation is necessary for the planned 'immune cell density' and 'proximity' features to be meaningful (density/proximity relative to the full tissue, not a pre-sorted subset).</w:t>
      </w:r>
    </w:p>
    <w:p>
      <w:pPr>
        <w:pStyle w:val="Heading1"/>
        <w:spacing w:after="120" w:before="240"/>
      </w:pPr>
      <w:r>
        <w:t xml:space="preserve">Decision 2 — Cell-type assignment method</w:t>
      </w:r>
    </w:p>
    <w:p>
      <w:pPr>
        <w:spacing w:after="160"/>
      </w:pPr>
      <w:r>
        <w:rPr>
          <w:i/>
          <w:iCs/>
          <w:sz w:val="20"/>
          <w:szCs w:val="20"/>
        </w:rPr>
        <w:t xml:space="preserve">Step: cell phenotyping</w:t>
      </w:r>
    </w:p>
    <w:p>
      <w:pPr>
        <w:spacing w:after="160"/>
      </w:pPr>
      <w:r>
        <w:t xml:space="preserve">Two standard unsupervised approaches were attempted first and rejected: (a) k-means clustering (k=10) on standardized marker values produced clusters with no clear differential marker enrichment — cluster-mean marker expression was nearly uniform across clusters; (b) per-marker 2-component Gaussian Mixture Model gating was attempted next, but the underlying marker distributions are heavily zero-inflated (most cells read at or near zero for most markers), so the GMM components separated 'exactly zero' from 'any nonzero signal' rather than biologically meaningful positive/negative populations (all fitted thresholds converged to ~0.003–0.004, and 'positive' fractions were implausibly high for multiple mutually-exclusive lineage markers simultaneously).</w:t>
      </w:r>
    </w:p>
    <w:p>
      <w:pPr>
        <w:spacing w:after="200"/>
      </w:pPr>
      <w:r>
        <w:rPr>
          <w:b/>
          <w:bCs/>
        </w:rPr>
        <w:t xml:space="preserve">Decision / rationale: </w:t>
      </w:r>
      <w:r>
        <w:t xml:space="preserve">Decision: a hierarchical, marker-threshold gating scheme was used instead. Positivity for each of 16 canonical lineage markers was defined as expression above that marker's own 80th percentile, computed across all 54,989 cells pooled. Cells were then assigned to a single cell type using a fixed priority order: Tumor (SOX10+, CD45−) &gt; immune subtypes gated on CD45+ (T-cell subsets via CD3/CD4/CD8/FOXP3, B cells via CD20, NK via CD56, myeloid via CD68/CD163/CD14/CD11b/CD11c) &gt; Endothelial (CD31+) &gt; Lymphatic (Podoplanin+) &gt; Stromal (SMA+) &gt; Unclassified. The resulting composition (~16% tumor, ~17% endothelial, ~20% immune subtypes, ~33% unclassified) was judged biologically plausible for a melanoma TME sample. The 80th-percentile threshold is an analytical choice, not a validated clinical cutoff, and is flagged here as a limitation; it was not tuned against outcome data.</w:t>
      </w:r>
    </w:p>
    <w:p>
      <w:pPr>
        <w:pStyle w:val="Heading1"/>
        <w:spacing w:after="120" w:before="240"/>
      </w:pPr>
      <w:r>
        <w:t xml:space="preserve">Decision 3 — Tissue area and density normalization</w:t>
      </w:r>
    </w:p>
    <w:p>
      <w:pPr>
        <w:spacing w:after="160"/>
      </w:pPr>
      <w:r>
        <w:rPr>
          <w:i/>
          <w:iCs/>
          <w:sz w:val="20"/>
          <w:szCs w:val="20"/>
        </w:rPr>
        <w:t xml:space="preserve">Step: feature engineering</w:t>
      </w:r>
    </w:p>
    <w:p>
      <w:pPr>
        <w:spacing w:after="160"/>
      </w:pPr>
      <w:r>
        <w:t xml:space="preserve">No image dimensions or pixel-to-micron conversion were provided with the dataset. Per-patient tissue area was approximated as the convex hull area of that patient's cell centroid coordinates, in pixel^2 units.</w:t>
      </w:r>
    </w:p>
    <w:p>
      <w:pPr>
        <w:spacing w:after="200"/>
      </w:pPr>
      <w:r>
        <w:rPr>
          <w:b/>
          <w:bCs/>
        </w:rPr>
        <w:t xml:space="preserve">Decision / rationale: </w:t>
      </w:r>
      <w:r>
        <w:t xml:space="preserve">Decision: cell-type densities are reported per 1,000 px^2 of convex-hull area rather than per physical area (e.g., mm^2), since no calibration factor was available. This is noted as a limitation for cross-study comparison but does not affect within-cohort comparisons, which use the same units throughout.</w:t>
      </w:r>
    </w:p>
    <w:p>
      <w:pPr>
        <w:pStyle w:val="Heading1"/>
        <w:spacing w:after="120" w:before="240"/>
      </w:pPr>
      <w:r>
        <w:t xml:space="preserve">Decision 4 — Spatial proximity metrics</w:t>
      </w:r>
    </w:p>
    <w:p>
      <w:pPr>
        <w:spacing w:after="160"/>
      </w:pPr>
      <w:r>
        <w:rPr>
          <w:i/>
          <w:iCs/>
          <w:sz w:val="20"/>
          <w:szCs w:val="20"/>
        </w:rPr>
        <w:t xml:space="preserve">Step: feature engineering</w:t>
      </w:r>
    </w:p>
    <w:p>
      <w:pPr>
        <w:spacing w:after="160"/>
      </w:pPr>
      <w:r>
        <w:t xml:space="preserve">Proximity was operationalized as the mean nearest-neighbor distance (NND) from each CD8+ T cell to the nearest tumor cell, and from each CD8+ T cell to the nearest myeloid cell, computed per patient using a k-d tree (scipy.spatial.cKDTree). No edge correction was applied for cells near the convex hull boundary.</w:t>
      </w:r>
    </w:p>
    <w:p>
      <w:pPr>
        <w:spacing w:after="200"/>
      </w:pPr>
      <w:r>
        <w:rPr>
          <w:b/>
          <w:bCs/>
        </w:rPr>
        <w:t xml:space="preserve">Decision / rationale: </w:t>
      </w:r>
      <w:r>
        <w:t xml:space="preserve">Decision: these two proximity metrics were pre-specified as proxies for immune infiltration/exclusion (CD8T-to-tumor) and for a suppressive myeloid microenvironment (CD8T-to-myeloid), consistent with established biology in the immunotherapy literature (e.g., CD68+ myeloid proximity to CD8+ T cells has been associated with non-response to anti-PD-1 in melanoma; SITC Cancer Immunotherapy Resource Document).</w:t>
      </w:r>
    </w:p>
    <w:p>
      <w:pPr>
        <w:pStyle w:val="Heading1"/>
        <w:spacing w:after="120" w:before="240"/>
      </w:pPr>
      <w:r>
        <w:t xml:space="preserve">Decision 5 — Handling of patients with zero detected CD8 T cells or zero tumor cells</w:t>
      </w:r>
    </w:p>
    <w:p>
      <w:pPr>
        <w:spacing w:after="160"/>
      </w:pPr>
      <w:r>
        <w:rPr>
          <w:i/>
          <w:iCs/>
          <w:sz w:val="20"/>
          <w:szCs w:val="20"/>
        </w:rPr>
        <w:t xml:space="preserve">Step: feature engineering — resolved per user instruction</w:t>
      </w:r>
    </w:p>
    <w:p>
      <w:pPr>
        <w:spacing w:after="160"/>
      </w:pPr>
      <w:r>
        <w:t xml:space="preserve">4 of 54 patients had zero CD8+ T cells and/or zero tumor cells detected under the Decision 2 gating scheme, making the CD8T-to-tumor / CD8T-to-myeloid NND undefined for those patients.</w:t>
      </w:r>
    </w:p>
    <w:p>
      <w:pPr>
        <w:spacing w:after="200"/>
      </w:pPr>
      <w:r>
        <w:rPr>
          <w:b/>
          <w:bCs/>
        </w:rPr>
        <w:t xml:space="preserve">Decision / rationale: </w:t>
      </w:r>
      <w:r>
        <w:t xml:space="preserve">Decision (per explicit user instruction): these were recoded as a distinct 'immune desert' category rather than treated as missing data, since the absence of detectable CD8+ T cells or tumor cells in the sampled tissue is itself biologically informative. Binary indicator flags (no_CD8T_or_Tumor_detected, no_CD8T_or_Myeloid_detected, no_tumor_detected) were added, and the corresponding distance metric was set to a sentinel value (1.2x the maximum observed valid distance in the cohort) so that these cases are numerically distinguishable from any real close-range measurement rather than silently imputed to a 'typical' value.</w:t>
      </w:r>
    </w:p>
    <w:p>
      <w:pPr>
        <w:pStyle w:val="Heading1"/>
        <w:spacing w:after="120" w:before="240"/>
      </w:pPr>
      <w:r>
        <w:t xml:space="preserve">Decision 6 — Spatial clustering statistic</w:t>
      </w:r>
    </w:p>
    <w:p>
      <w:pPr>
        <w:spacing w:after="160"/>
      </w:pPr>
      <w:r>
        <w:rPr>
          <w:i/>
          <w:iCs/>
          <w:sz w:val="20"/>
          <w:szCs w:val="20"/>
        </w:rPr>
        <w:t xml:space="preserve">Step: feature engineering</w:t>
      </w:r>
    </w:p>
    <w:p>
      <w:pPr>
        <w:spacing w:after="160"/>
      </w:pPr>
      <w:r>
        <w:t xml:space="preserve">A bivariate Ripley's K-style statistic was computed for immune cells within each patient, at a fixed radius r = 50 px, with no edge correction. The clustering index was defined as K_observed(r) / (pi * r^2) − 1, so that 0 indicates spatial randomness, positive values indicate clustering, and negative values indicate dispersion.</w:t>
      </w:r>
    </w:p>
    <w:p>
      <w:pPr>
        <w:spacing w:after="200"/>
      </w:pPr>
      <w:r>
        <w:rPr>
          <w:b/>
          <w:bCs/>
        </w:rPr>
        <w:t xml:space="preserve">Decision / rationale: </w:t>
      </w:r>
      <w:r>
        <w:t xml:space="preserve">Decision: r = 50 px was chosen as an a priori, fixed value approximating twice the typical inter-cell spacing observed in this dataset, rather than searched across multiple radii against the outcome (to avoid post hoc tuning against response). No edge correction was applied; this is a known simplification for convex, irregularly shaped tissue regions and is reported as a limitation.</w:t>
      </w:r>
    </w:p>
    <w:p>
      <w:pPr>
        <w:pStyle w:val="Heading1"/>
        <w:spacing w:after="120" w:before="240"/>
      </w:pPr>
      <w:r>
        <w:t xml:space="preserve">Decision 7 — Outcome variable definition</w:t>
      </w:r>
    </w:p>
    <w:p>
      <w:pPr>
        <w:spacing w:after="160"/>
      </w:pPr>
      <w:r>
        <w:rPr>
          <w:i/>
          <w:iCs/>
          <w:sz w:val="20"/>
          <w:szCs w:val="20"/>
        </w:rPr>
        <w:t xml:space="preserve">Step: analysis setup</w:t>
      </w:r>
    </w:p>
    <w:p>
      <w:pPr>
        <w:spacing w:after="160"/>
      </w:pPr>
      <w:r>
        <w:t xml:space="preserve">The dataset's response_binary field (0 = non-responder, 1 = responder) was used as the primary outcome, cross-checked against response_multi (RECIST categories: CR/PR coded as responder = 1, SD/PD coded as non-responder = 0). The two fields were fully concordant for all 54 patients.</w:t>
      </w:r>
    </w:p>
    <w:p>
      <w:pPr>
        <w:spacing w:after="200"/>
      </w:pPr>
      <w:r>
        <w:rPr>
          <w:b/>
          <w:bCs/>
        </w:rPr>
        <w:t xml:space="preserve">Decision / rationale: </w:t>
      </w:r>
      <w:r>
        <w:t xml:space="preserve">Decision: response_binary was used directly as provided; no re-derivation was necessary.</w:t>
      </w:r>
    </w:p>
    <w:p>
      <w:pPr>
        <w:pStyle w:val="Heading1"/>
        <w:spacing w:after="120" w:before="240"/>
      </w:pPr>
      <w:r>
        <w:t xml:space="preserve">Decision 8 — Classification model and validation strategy</w:t>
      </w:r>
    </w:p>
    <w:p>
      <w:pPr>
        <w:spacing w:after="160"/>
      </w:pPr>
      <w:r>
        <w:rPr>
          <w:i/>
          <w:iCs/>
          <w:sz w:val="20"/>
          <w:szCs w:val="20"/>
        </w:rPr>
        <w:t xml:space="preserve">Step: modeling</w:t>
      </w:r>
    </w:p>
    <w:p>
      <w:pPr>
        <w:spacing w:after="160"/>
      </w:pPr>
      <w:r>
        <w:t xml:space="preserve">Given n = 54 patients, a Random Forest classifier was evaluated using leave-one-out cross-validation (LOOCV) rather than a single train/test split or k-fold CV, to make maximal use of the small sample while avoiding train/test leakage. Two feature sets were tested: (a) the full 35-feature engineered set, and (b) a pre-specified, hypothesis-driven 11–12 feature subset directly reflecting the four analysis-plan components (immune density, proximity, spatial clustering, PD-L1). Model depth was constrained (max_depth 2–4) given the sample size.</w:t>
      </w:r>
    </w:p>
    <w:p>
      <w:pPr>
        <w:spacing w:after="200"/>
      </w:pPr>
      <w:r>
        <w:rPr>
          <w:b/>
          <w:bCs/>
        </w:rPr>
        <w:t xml:space="preserve">Decision / rationale: </w:t>
      </w:r>
      <w:r>
        <w:t xml:space="preserve">Decision: results are reported for the pre-specified reduced feature set as the confirmatory analysis (11 features + Ripley's K = 12), since evaluating many engineered features against n=54 outcomes without a holdout risks overfitting even under LOOCV. The full-feature-set result is reported as an exploratory comparison only, not as the headline finding.</w:t>
      </w:r>
    </w:p>
    <w:p>
      <w:pPr>
        <w:pStyle w:val="Heading1"/>
        <w:spacing w:after="120" w:before="240"/>
      </w:pPr>
      <w:r>
        <w:t xml:space="preserve">Decision 9 — Reporting an unfavorable / null result honestly</w:t>
      </w:r>
    </w:p>
    <w:p>
      <w:pPr>
        <w:spacing w:after="160"/>
      </w:pPr>
      <w:r>
        <w:rPr>
          <w:i/>
          <w:iCs/>
          <w:sz w:val="20"/>
          <w:szCs w:val="20"/>
        </w:rPr>
        <w:t xml:space="preserve">Step: results interpretation — resolved per user instruction</w:t>
      </w:r>
    </w:p>
    <w:p>
      <w:pPr>
        <w:spacing w:after="160"/>
      </w:pPr>
      <w:r>
        <w:t xml:space="preserve">The confirmatory model achieved LOOCV AUC = 0.33 (accuracy 44%), below chance (AUC 0.50). No individual engineered imaging feature reached statistical significance in univariate comparisons between responders and non-responders (all p &gt; 0.10). By contrast, baseline clinical stage alone (already present in the source dataset, not derived from imaging) achieved LOOCV AUC = 0.60 using logistic regression, and was significantly associated with response (Spearman rho = −0.41, p = 0.002; chi-square p = 0.026).</w:t>
      </w:r>
    </w:p>
    <w:p>
      <w:pPr>
        <w:spacing w:after="200"/>
      </w:pPr>
      <w:r>
        <w:rPr>
          <w:b/>
          <w:bCs/>
        </w:rPr>
        <w:t xml:space="preserve">Decision / rationale: </w:t>
      </w:r>
      <w:r>
        <w:t xml:space="preserve">Decision: per explicit user instruction, this result is reported as-is rather than adjusted through additional feature searches until a positive result was obtained. The manuscript frames this transparently as a negative/underpowered finding for the imaging-derived biomarkers tested, in a small (n=54) single-cohort feasibility analysis, with directionally consistent (but non-significant) trends for CD8+ T-cell density and CD8T-to-tumor proximity.</w:t>
      </w:r>
    </w:p>
    <w:p>
      <w:pPr>
        <w:pStyle w:val="Heading1"/>
        <w:spacing w:after="120" w:before="240"/>
      </w:pPr>
      <w:r>
        <w:t xml:space="preserve">Decision 10 — Target journal selection</w:t>
      </w:r>
    </w:p>
    <w:p>
      <w:pPr>
        <w:spacing w:after="160"/>
      </w:pPr>
      <w:r>
        <w:rPr>
          <w:i/>
          <w:iCs/>
          <w:sz w:val="20"/>
          <w:szCs w:val="20"/>
        </w:rPr>
        <w:t xml:space="preserve">Step: manuscript preparation — resolved per user instruction ('pick based on results/fit')</w:t>
      </w:r>
    </w:p>
    <w:p>
      <w:pPr>
        <w:spacing w:after="160"/>
      </w:pPr>
      <w:r>
        <w:t xml:space="preserve">Given the honest negative/exploratory nature of the imaging-biomarker result, and that the dataset originates from a Yale group whose related work was presented at SITC, the Journal for ImmunoTherapy of Cancer (JITC) was selected as the target journal.</w:t>
      </w:r>
    </w:p>
    <w:p>
      <w:pPr>
        <w:spacing w:after="200"/>
      </w:pPr>
      <w:r>
        <w:rPr>
          <w:b/>
          <w:bCs/>
        </w:rPr>
        <w:t xml:space="preserve">Decision / rationale: </w:t>
      </w:r>
      <w:r>
        <w:t xml:space="preserve">Rationale: JITC (a) is the venue where the original underlying MIBI methodology was first presented (Vesely et al., 2021), giving the submission a natural intellectual home and readership already familiar with the assay; (b) publishes rigorous negative/hypothesis-generating biomarker studies in immuno-oncology, not only positive results; (c) has a broad translational immunotherapy audience for whom the comparison against simple clinical staging is directly actionable.</w:t>
      </w:r>
    </w:p>
    <w:p>
      <w:pPr>
        <w:pStyle w:val="Heading1"/>
        <w:spacing w:after="120" w:before="240"/>
      </w:pPr>
      <w:r>
        <w:t xml:space="preserve">Summary of final analytical dataset</w:t>
      </w:r>
    </w:p>
    <w:p>
      <w:pPr>
        <w:pStyle w:val="ListParagraph"/>
        <w:numPr>
          <w:ilvl w:val="0"/>
          <w:numId w:val="1"/>
        </w:numPr>
        <w:spacing w:after="80"/>
      </w:pPr>
      <w:r>
        <w:t xml:space="preserve">54 patients, 44 columns (analytical_dataset.csv), one row per patient</w:t>
      </w:r>
    </w:p>
    <w:p>
      <w:pPr>
        <w:pStyle w:val="ListParagraph"/>
        <w:numPr>
          <w:ilvl w:val="0"/>
          <w:numId w:val="1"/>
        </w:numPr>
        <w:spacing w:after="80"/>
      </w:pPr>
      <w:r>
        <w:t xml:space="preserve">Cell-level source files (cell_protein_data.csv, cell_spatial_data.csv, patient_info.csv) unmodified from the Mendeley source; all transformations applied downstream and are reproducible from the code</w:t>
      </w:r>
    </w:p>
    <w:p>
      <w:pPr>
        <w:pStyle w:val="ListParagraph"/>
        <w:numPr>
          <w:ilvl w:val="0"/>
          <w:numId w:val="1"/>
        </w:numPr>
        <w:spacing w:after="80"/>
      </w:pPr>
      <w:r>
        <w:t xml:space="preserve">No data were excluded from the cohort; all 54 patients are retained in every analysis</w:t>
      </w:r>
    </w:p>
    <w:p>
      <w:pPr>
        <w:pStyle w:val="ListParagraph"/>
        <w:numPr>
          <w:ilvl w:val="0"/>
          <w:numId w:val="1"/>
        </w:numPr>
        <w:spacing w:after="80"/>
      </w:pPr>
      <w:r>
        <w:t xml:space="preserve">Dataset was locked after Decision 9 (result reporting); no further feature engineering or feature selection was performed after seeing the confirmatory model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2026-07-11T21:27:16.621Z</dcterms:created>
  <dcterms:modified xsi:type="dcterms:W3CDTF">2026-07-11T21:27:16.634Z</dcterms:modified>
</cp:coreProperties>
</file>

<file path=docProps/custom.xml><?xml version="1.0" encoding="utf-8"?>
<Properties xmlns="http://schemas.openxmlformats.org/officeDocument/2006/custom-properties" xmlns:vt="http://schemas.openxmlformats.org/officeDocument/2006/docPropsVTypes"/>
</file>