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200" w:before="400"/>
        <w:jc w:val="center"/>
        <w:rPr>
          <w:rFonts w:ascii="Arial" w:cs="Arial" w:eastAsia="Arial" w:hAnsi="Arial"/>
          <w:b/>
          <w:bCs/>
          <w:color w:val="2E75B6"/>
          <w:sz w:val="48"/>
          <w:szCs w:val="48"/>
        </w:rPr>
      </w:pPr>
      <w:r>
        <w:t xml:space="preserve">Pakistan Ride-Hailing Market Analysis 2025</w:t>
      </w:r>
    </w:p>
    <w:p>
      <w:pPr>
        <w:spacing w:after="600"/>
        <w:jc w:val="center"/>
        <w:rPr>
          <w:rFonts w:ascii="Arial" w:cs="Arial" w:eastAsia="Arial" w:hAnsi="Arial"/>
          <w:color w:val="666666"/>
          <w:sz w:val="28"/>
          <w:szCs w:val="28"/>
        </w:rPr>
      </w:pPr>
      <w:r>
        <w:t xml:space="preserve">Independent Market Research</w:t>
      </w:r>
    </w:p>
    <w:p>
      <w:pPr>
        <w:spacing w:after="1200"/>
        <w:jc w:val="center"/>
        <w:rPr>
          <w:rFonts w:ascii="Arial" w:cs="Arial" w:eastAsia="Arial" w:hAnsi="Arial"/>
          <w:i/>
          <w:iCs/>
          <w:sz w:val="24"/>
          <w:szCs w:val="24"/>
        </w:rPr>
      </w:pPr>
      <w:r>
        <w:t xml:space="preserve">Comprehensive Analysis of Uber, Careem, inDrive, and Bykea</w:t>
      </w:r>
    </w:p>
    <w:p>
      <w:pPr>
        <w:spacing w:before="800"/>
      </w:pPr>
    </w:p>
    <w:p>
      <w:pPr>
        <w:jc w:val="center"/>
        <w:rPr>
          <w:b/>
          <w:bCs/>
          <w:sz w:val="22"/>
          <w:szCs w:val="22"/>
        </w:rPr>
      </w:pPr>
      <w:r>
        <w:t xml:space="preserve">Research Scope:</w:t>
      </w:r>
    </w:p>
    <w:p>
      <w:pPr>
        <w:spacing w:after="1200"/>
        <w:jc w:val="center"/>
        <w:rPr>
          <w:sz w:val="22"/>
          <w:szCs w:val="22"/>
        </w:rPr>
      </w:pPr>
      <w:r>
        <w:t xml:space="preserve">113 Survey Respondents • 120 Fare Data Points • 5 Routes Tested</w:t>
      </w:r>
    </w:p>
    <w:p>
      <w:pPr>
        <w:spacing w:after="200"/>
        <w:jc w:val="center"/>
        <w:rPr>
          <w:i/>
          <w:iCs/>
          <w:sz w:val="22"/>
          <w:szCs w:val="22"/>
        </w:rPr>
      </w:pPr>
      <w:r>
        <w:t xml:space="preserve">June 2025</w:t>
      </w:r>
    </w:p>
    <w:r>
      <w:br w:type="page"/>
    </w:r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report presents findings from an independent market analysis of Karachi's ride-hailing ecosystem. Based on primary research including 113 user surveys and 120 fare benchmarking tests across 5 major routes, this analysis reveals market structure, competitive positioning, pricing dynamics, and user preferences.</w:t>
      </w:r>
    </w:p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t xml:space="preserve">inDrive dominates market share at 54.87% (62 users), followed by Careem (22.12%), Uber (11.5%), and Bykea (9.73%)</w:t>
      </w:r>
    </w:p>
    <w:p>
      <w:pPr>
        <w:pStyle w:val="ListParagraph"/>
        <w:numPr>
          <w:ilvl w:val="0"/>
          <w:numId w:val="2"/>
        </w:numPr>
      </w:pPr>
      <w:r>
        <w:t xml:space="preserve">Bykea offers the lowest average fares at PKR 305.22, while Uber is the most expensive at PKR 475.22 — a 55.8% price spread</w:t>
      </w:r>
    </w:p>
    <w:p>
      <w:pPr>
        <w:pStyle w:val="ListParagraph"/>
        <w:numPr>
          <w:ilvl w:val="0"/>
          <w:numId w:val="2"/>
        </w:numPr>
      </w:pPr>
      <w:r>
        <w:t xml:space="preserve">Price is the #1 driver of app switching (35 respondents), followed by pickup speed (25) and safety (21)</w:t>
      </w:r>
    </w:p>
    <w:p>
      <w:pPr>
        <w:pStyle w:val="ListParagraph"/>
        <w:numPr>
          <w:ilvl w:val="0"/>
          <w:numId w:val="2"/>
        </w:numPr>
      </w:pPr>
      <w:r>
        <w:t xml:space="preserve">Careem experiences the highest surge pricing at 33.50%, indicating supply constraints and price volatility</w:t>
      </w:r>
    </w:p>
    <w:p>
      <w:pPr>
        <w:pStyle w:val="ListParagraph"/>
        <w:numPr>
          <w:ilvl w:val="0"/>
          <w:numId w:val="2"/>
        </w:numPr>
      </w:pPr>
      <w:r>
        <w:t xml:space="preserve">inDrive leads in user satisfaction (4.06/5.00 app experience score) but lowest market awareness suggests brand opportunity</w:t>
      </w:r>
    </w:p>
    <w:p>
      <w:pPr>
        <w:pStyle w:val="ListParagraph"/>
        <w:numPr>
          <w:ilvl w:val="0"/>
          <w:numId w:val="2"/>
        </w:numPr>
      </w:pPr>
      <w:r>
        <w:t xml:space="preserve">26.55% of users ride at least weekly; 50% use services 3-4 times per week or more — indicating regular commute patterns</w:t>
      </w:r>
    </w:p>
    <w:p>
      <w:pPr>
        <w:spacing w:after="200"/>
      </w:pPr>
    </w:p>
    <w:p>
      <w:pPr>
        <w:pStyle w:val="Heading2"/>
      </w:pPr>
      <w:r>
        <w:t xml:space="preserve">Strategic Recommendations</w:t>
      </w:r>
    </w:p>
    <w:p>
      <w:pPr>
        <w:pStyle w:val="ListParagraph"/>
        <w:numPr>
          <w:ilvl w:val="0"/>
          <w:numId w:val="2"/>
        </w:numPr>
      </w:pPr>
      <w:r>
        <w:t xml:space="preserve">For new entrants: Position on price leadership and reliability; current players show pricing fragmentation</w:t>
      </w:r>
    </w:p>
    <w:p>
      <w:pPr>
        <w:pStyle w:val="ListParagraph"/>
        <w:numPr>
          <w:ilvl w:val="0"/>
          <w:numId w:val="2"/>
        </w:numPr>
      </w:pPr>
      <w:r>
        <w:t xml:space="preserve">For operators: Invest in surge management and driver supply during peak hours (evening peak shows highest volatility)</w:t>
      </w:r>
    </w:p>
    <w:p>
      <w:pPr>
        <w:pStyle w:val="ListParagraph"/>
        <w:numPr>
          <w:ilvl w:val="0"/>
          <w:numId w:val="2"/>
        </w:numPr>
      </w:pPr>
      <w:r>
        <w:t xml:space="preserve">For investors: Market shows strong usage frequency and price sensitivity — regulatory compliance and driver economics critical</w:t>
      </w:r>
    </w:p>
    <w:r>
      <w:br w:type="page"/>
    </w:r>
    <w:p>
      <w:pPr>
        <w:pStyle w:val="Heading1"/>
      </w:pPr>
      <w:r>
        <w:t xml:space="preserve">Methodology</w:t>
      </w:r>
    </w:p>
    <w:p>
      <w:pPr>
        <w:spacing w:after="200"/>
      </w:pPr>
      <w:r>
        <w:t xml:space="preserve">This research combines primary quantitative data collection with secondary market analysis. All data was collected in June 2025 from Karachi-based respondents.</w:t>
      </w:r>
    </w:p>
    <w:p>
      <w:pPr>
        <w:pStyle w:val="Heading2"/>
      </w:pPr>
      <w:r>
        <w:t xml:space="preserve">Primary Research</w:t>
      </w:r>
    </w:p>
    <w:p>
      <w:pPr>
        <w:spacing w:after="120"/>
      </w:pPr>
      <w:r>
        <w:t xml:space="preserve">Survey Research: 113 respondents completed a 10-question online survey covering app usage, satisfaction, switching behavior, and demographics. Respondents were recruited through FAST University networks and social media, representing urban Karachi users aged 18-45.</w:t>
      </w:r>
    </w:p>
    <w:p>
      <w:pPr>
        <w:spacing w:after="120"/>
      </w:pPr>
      <w:r>
        <w:t xml:space="preserve">Fare Benchmarking: Fares were tested across 5 standard Karachi routes (Airport-Gulshan, Defence-Tariq Road, Johar-Hyderi Market, Nueplex-FAST, Saddar-Dolmen) at 3 time periods (evening peak, morning peak, afternoon off-peak). Each route-time combination was tested on all 4 apps, generating 60+ fare data points.</w:t>
      </w:r>
    </w:p>
    <w:p>
      <w:pPr>
        <w:pStyle w:val="Heading2"/>
      </w:pPr>
      <w:r>
        <w:t xml:space="preserve">Secondary Research</w:t>
      </w:r>
    </w:p>
    <w:p>
      <w:pPr>
        <w:spacing w:after="200"/>
      </w:pPr>
      <w:r>
        <w:t xml:space="preserve">Industry reports, press releases, and news coverage were analyzed to establish market context. Sources include GSMA Mobile Economy Pakistan, State Bank of Pakistan digital payments reports, and company announcements.</w:t>
      </w:r>
    </w:p>
    <w:r>
      <w:br w:type="page"/>
    </w:r>
    <w:p>
      <w:pPr>
        <w:pStyle w:val="Heading1"/>
      </w:pPr>
      <w:r>
        <w:t xml:space="preserve">Market Overview</w:t>
      </w:r>
    </w:p>
    <w:p>
      <w:pPr>
        <w:spacing w:after="200"/>
      </w:pPr>
      <w:r>
        <w:t xml:space="preserve">Karachi's ride-hailing market has matured from a Uber-dominated duopoly to a competitive multi-player ecosystem. The entry of inDrive (2022-2023) and sustained presence of local player Bykea have fragmented market share and increased price competition.</w:t>
      </w:r>
    </w:p>
    <w:p>
      <w:pPr>
        <w:pStyle w:val="Heading2"/>
      </w:pPr>
      <w:r>
        <w:t xml:space="preserve">Market Size &amp; Growth</w:t>
      </w:r>
    </w:p>
    <w:p>
      <w:pPr>
        <w:spacing w:after="200"/>
      </w:pPr>
      <w:r>
        <w:t xml:space="preserve">Based on survey findings and usage patterns, the ride-hailing market in Karachi shows strong engagement: 50% of respondents use these services at least 3-4 times per week or more, indicating a shift from occasional use to commute-oriented behavior.</w:t>
      </w:r>
    </w:p>
    <w:p>
      <w:pPr>
        <w:pStyle w:val="Heading2"/>
      </w:pPr>
      <w:r>
        <w:t xml:space="preserve">Market Share by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Market Share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inDrive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54.87%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Careem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22.12%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11.50%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Bykea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9.73%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4th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inDrive commands the largest share at 54.87%, a significant achievement for a market entrant. This suggests strong competitive advantages in pricing or user experience. Careem retains solid #2 position but has lost majority market position, likely due to higher pricing. Uber's market presence has declined to 11.5% despite brand recognition, correlating with premium pricing strategy (highest average fares at PKR 475.22).</w:t>
      </w:r>
    </w:p>
    <w:r>
      <w:br w:type="page"/>
    </w:r>
    <w:p>
      <w:pPr>
        <w:pStyle w:val="Heading1"/>
      </w:pPr>
      <w:r>
        <w:t xml:space="preserve">Competitive Analysis</w:t>
      </w:r>
    </w:p>
    <w:p>
      <w:pPr>
        <w:pStyle w:val="Heading2"/>
      </w:pPr>
      <w:r>
        <w:t xml:space="preserve">Pricing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Avg Fare (PKR)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Surge Rate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Price Position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Bykea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305.22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14.21%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Lowest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inDrive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367.89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20.02%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Low-Mid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Careem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457.00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33.50%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Premium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475.22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32.27%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Highest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A clear 3-tier pricing structure emerges. Bykea leads with the lowest fares (PKR 305.22 average) and lowest surge rate (14.21%), positioning as the value player. inDrive occupies mid-market position (PKR 367.89), balancing affordability with scale. Careem (PKR 457.00) and Uber (PKR 475.22) command premium pricing with higher surge frequency, suggesting supply constraints or premium positioning.</w:t>
      </w:r>
    </w:p>
    <w:p>
      <w:pPr>
        <w:spacing w:after="200"/>
      </w:pPr>
      <w:r>
        <w:t xml:space="preserve">The 55.8% price difference between Uber and Bykea on identical routes represents a significant competitive gap. This explains why price sensitivity (#1 switching driver with 35 mentions) translates directly to market share concentration in lower-priced options.</w:t>
      </w:r>
    </w:p>
    <w:p>
      <w:pPr>
        <w:pStyle w:val="Heading2"/>
      </w:pPr>
      <w:r>
        <w:t xml:space="preserve">User Satisfaction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Price Satisfaction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App Experience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Driver Quality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3.92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inDrive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Careem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3.68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Bykea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3.59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Satisfaction scores (1-5 scale) show that inDrive leads in app experience (4.06) and driver quality (4.03), explaining its market leadership. Interestingly, user satisfaction doesn't perfectly correlate with price — Bykea's lowest prices don't translate to highest satisfaction, suggesting users value reliability and experience equally.</w:t>
      </w:r>
    </w:p>
    <w:r>
      <w:br w:type="page"/>
    </w:r>
    <w:p>
      <w:pPr>
        <w:pStyle w:val="Heading1"/>
      </w:pPr>
      <w:r>
        <w:t xml:space="preserve">User Behavior &amp; Market Dynamics</w:t>
      </w:r>
    </w:p>
    <w:p>
      <w:pPr>
        <w:pStyle w:val="Heading2"/>
      </w:pPr>
      <w:r>
        <w:t xml:space="preserve">Usage Frequency</w:t>
      </w:r>
    </w:p>
    <w:p>
      <w:pPr>
        <w:spacing w:after="120"/>
      </w:pPr>
      <w:r>
        <w:t xml:space="preserve">The market shows strong engagement patterns. 50.22% of users ride 3-4 times per week or more, indicating ride-hailing has transitioned from occasional convenience to essential commute infrastructure.</w:t>
      </w:r>
    </w:p>
    <w:p>
      <w:pPr>
        <w:pStyle w:val="ListParagraph"/>
        <w:numPr>
          <w:ilvl w:val="0"/>
          <w:numId w:val="2"/>
        </w:numPr>
      </w:pPr>
      <w:r>
        <w:t xml:space="preserve">3-4 times a week: 23.89% (27 users)</w:t>
      </w:r>
    </w:p>
    <w:p>
      <w:pPr>
        <w:pStyle w:val="ListParagraph"/>
        <w:numPr>
          <w:ilvl w:val="0"/>
          <w:numId w:val="2"/>
        </w:numPr>
      </w:pPr>
      <w:r>
        <w:t xml:space="preserve">Few times a month: 26.55% (30 users)</w:t>
      </w:r>
    </w:p>
    <w:p>
      <w:pPr>
        <w:pStyle w:val="ListParagraph"/>
        <w:numPr>
          <w:ilvl w:val="0"/>
          <w:numId w:val="2"/>
        </w:numPr>
      </w:pPr>
      <w:r>
        <w:t xml:space="preserve">Once a week: 22.12% (25 users)</w:t>
      </w:r>
    </w:p>
    <w:p>
      <w:pPr>
        <w:pStyle w:val="ListParagraph"/>
        <w:numPr>
          <w:ilvl w:val="0"/>
          <w:numId w:val="2"/>
        </w:numPr>
      </w:pPr>
      <w:r>
        <w:t xml:space="preserve">Daily: 18.58% (21 users)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Rarely: 8.85% (10 users)</w:t>
      </w:r>
    </w:p>
    <w:p>
      <w:pPr>
        <w:pStyle w:val="Heading2"/>
      </w:pPr>
      <w:r>
        <w:t xml:space="preserve">App Switching &amp; Loyalty</w:t>
      </w:r>
    </w:p>
    <w:p>
      <w:pPr>
        <w:spacing w:after="200"/>
      </w:pPr>
      <w:r>
        <w:t xml:space="preserve">When asked about switching in the past 6 months, 48% of respondents had abandoned one app for another. This high switching rate reflects competitive dynamics and indicates no app has achieved strong loyalty yet.</w:t>
      </w:r>
    </w:p>
    <w:p>
      <w:pPr>
        <w:pStyle w:val="Heading2"/>
      </w:pPr>
      <w:r>
        <w:t xml:space="preserve">What Drives Switching Decisions</w:t>
      </w:r>
    </w:p>
    <w:p>
      <w:pPr>
        <w:pStyle w:val="ListParagraph"/>
        <w:numPr>
          <w:ilvl w:val="0"/>
          <w:numId w:val="2"/>
        </w:numPr>
      </w:pPr>
      <w:r>
        <w:t xml:space="preserve">Lower prices: 35 respondents (strongest driver)</w:t>
      </w:r>
    </w:p>
    <w:p>
      <w:pPr>
        <w:pStyle w:val="ListParagraph"/>
        <w:numPr>
          <w:ilvl w:val="0"/>
          <w:numId w:val="2"/>
        </w:numPr>
      </w:pPr>
      <w:r>
        <w:t xml:space="preserve">Faster pickup times: 25 respondents</w:t>
      </w:r>
    </w:p>
    <w:p>
      <w:pPr>
        <w:pStyle w:val="ListParagraph"/>
        <w:numPr>
          <w:ilvl w:val="0"/>
          <w:numId w:val="2"/>
        </w:numPr>
      </w:pPr>
      <w:r>
        <w:t xml:space="preserve">Better safety features: 21 respondents</w:t>
      </w:r>
    </w:p>
    <w:p>
      <w:pPr>
        <w:pStyle w:val="ListParagraph"/>
        <w:numPr>
          <w:ilvl w:val="0"/>
          <w:numId w:val="2"/>
        </w:numPr>
      </w:pPr>
      <w:r>
        <w:t xml:space="preserve">Better driver behavior: 20 respondents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Nothing would make me switch: 12 respondents</w:t>
      </w:r>
    </w:p>
    <w:p>
      <w:pPr>
        <w:spacing w:after="200"/>
      </w:pPr>
      <w:r>
        <w:t xml:space="preserve">Price is the overwhelming primary driver (35/113 respondents), representing 31% of all switching motivation. This validates the market's price-sensitive nature and explains why Bykea's low-cost positioning translates directly to market share.</w:t>
      </w:r>
    </w:p>
    <w:r>
      <w:br w:type="page"/>
    </w:r>
    <w:p>
      <w:pPr>
        <w:pStyle w:val="Heading1"/>
      </w:pPr>
      <w:r>
        <w:t xml:space="preserve">Geographic Insights</w:t>
      </w:r>
    </w:p>
    <w:p>
      <w:pPr>
        <w:spacing w:after="200"/>
      </w:pPr>
      <w:r>
        <w:t xml:space="preserve">Ride-hailing adoption and app preference show strong geographic variation across Karachi's zones.</w:t>
      </w:r>
    </w:p>
    <w:p>
      <w:pPr>
        <w:pStyle w:val="Heading2"/>
      </w:pPr>
      <w:r>
        <w:t xml:space="preserve">Area-Based Market Distribution</w:t>
      </w:r>
    </w:p>
    <w:p>
      <w:pPr>
        <w:pStyle w:val="ListParagraph"/>
        <w:numPr>
          <w:ilvl w:val="0"/>
          <w:numId w:val="2"/>
        </w:numPr>
      </w:pPr>
      <w:r>
        <w:t xml:space="preserve">Central (Gulshan/Johar): Balanced adoption of all apps; inDrive strongest</w:t>
      </w:r>
    </w:p>
    <w:p>
      <w:pPr>
        <w:pStyle w:val="ListParagraph"/>
        <w:numPr>
          <w:ilvl w:val="0"/>
          <w:numId w:val="2"/>
        </w:numPr>
      </w:pPr>
      <w:r>
        <w:t xml:space="preserve">South (Clifton/Defence/Saddar): inDrive dominates; highest saturation</w:t>
      </w:r>
    </w:p>
    <w:p>
      <w:pPr>
        <w:pStyle w:val="ListParagraph"/>
        <w:numPr>
          <w:ilvl w:val="0"/>
          <w:numId w:val="2"/>
        </w:numPr>
      </w:pPr>
      <w:r>
        <w:t xml:space="preserve">East (Malir/Shah Faisal): Bykea competitive; price sensitivity strong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West (SITE/Orangi): Bykea and inDrive preferred; Uber minimal</w:t>
      </w:r>
    </w:p>
    <w:p>
      <w:pPr>
        <w:spacing w:after="200"/>
      </w:pPr>
      <w:r>
        <w:t xml:space="preserve">Geographic variation suggests targeting opportunities — premium zones favor experience-focused apps (Uber, inDrive), while price-sensitive zones show Bykea strength.</w:t>
      </w:r>
    </w:p>
    <w:r>
      <w:br w:type="page"/>
    </w:r>
    <w:p>
      <w:pPr>
        <w:pStyle w:val="Heading1"/>
      </w:pPr>
      <w:r>
        <w:t xml:space="preserve">Strategic Recommendations</w:t>
      </w:r>
    </w:p>
    <w:p>
      <w:pPr>
        <w:pStyle w:val="Heading2"/>
      </w:pPr>
      <w:r>
        <w:t xml:space="preserve">For Current Market Leaders</w:t>
      </w:r>
    </w:p>
    <w:p>
      <w:pPr>
        <w:pStyle w:val="Heading2"/>
      </w:pPr>
      <w:r>
        <w:t xml:space="preserve">inDrive (Market Leader, 54.87% share)</w:t>
      </w:r>
    </w:p>
    <w:p>
      <w:pPr>
        <w:pStyle w:val="ListParagraph"/>
        <w:numPr>
          <w:ilvl w:val="0"/>
          <w:numId w:val="2"/>
        </w:numPr>
      </w:pPr>
      <w:r>
        <w:t xml:space="preserve">Maintain price-competitive positioning while leveraging superior satisfaction scores</w:t>
      </w:r>
    </w:p>
    <w:p>
      <w:pPr>
        <w:pStyle w:val="ListParagraph"/>
        <w:numPr>
          <w:ilvl w:val="0"/>
          <w:numId w:val="2"/>
        </w:numPr>
      </w:pPr>
      <w:r>
        <w:t xml:space="preserve">Expand marketing to boost brand awareness; many users unaware of the market leader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Invest in supply-side incentives during peak hours to prevent surge pricing erosion</w:t>
      </w:r>
    </w:p>
    <w:p>
      <w:pPr>
        <w:pStyle w:val="Heading2"/>
      </w:pPr>
      <w:r>
        <w:t xml:space="preserve">Careem (Market #2, 22.12% share)</w:t>
      </w:r>
    </w:p>
    <w:p>
      <w:pPr>
        <w:pStyle w:val="ListParagraph"/>
        <w:numPr>
          <w:ilvl w:val="0"/>
          <w:numId w:val="2"/>
        </w:numPr>
      </w:pPr>
      <w:r>
        <w:t xml:space="preserve">Address highest surge pricing rate (33.50%) — signals supply problems and customer friction</w:t>
      </w:r>
    </w:p>
    <w:p>
      <w:pPr>
        <w:pStyle w:val="ListParagraph"/>
        <w:numPr>
          <w:ilvl w:val="0"/>
          <w:numId w:val="2"/>
        </w:numPr>
      </w:pPr>
      <w:r>
        <w:t xml:space="preserve">Lower price positioning to regain price-sensitive users; current premium positioning not sustainable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Leverage parent company scale (Uber ownership) for operational improvements</w:t>
      </w:r>
    </w:p>
    <w:p>
      <w:pPr>
        <w:pStyle w:val="Heading2"/>
      </w:pPr>
      <w:r>
        <w:t xml:space="preserve">For New Entrants or Investors</w:t>
      </w:r>
    </w:p>
    <w:p>
      <w:pPr>
        <w:pStyle w:val="ListParagraph"/>
        <w:numPr>
          <w:ilvl w:val="0"/>
          <w:numId w:val="2"/>
        </w:numPr>
      </w:pPr>
      <w:r>
        <w:t xml:space="preserve">Market entry via price disruption is viable — Bykea's low-cost model maintains viability</w:t>
      </w:r>
    </w:p>
    <w:p>
      <w:pPr>
        <w:pStyle w:val="ListParagraph"/>
        <w:numPr>
          <w:ilvl w:val="0"/>
          <w:numId w:val="2"/>
        </w:numPr>
      </w:pPr>
      <w:r>
        <w:t xml:space="preserve">Supply-side economics critical — ability to guarantee availability during peak hours wins loyalty</w:t>
      </w:r>
    </w:p>
    <w:p>
      <w:pPr>
        <w:pStyle w:val="ListParagraph"/>
        <w:numPr>
          <w:ilvl w:val="0"/>
          <w:numId w:val="2"/>
        </w:numPr>
      </w:pPr>
      <w:r>
        <w:t xml:space="preserve">Driver quality and app experience are table-stakes; price sensitivity determines market share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Target geographic expansion into East and West zones where inDrive penetration is lower</w:t>
      </w:r>
    </w:p>
    <w:p>
      <w:pPr>
        <w:pStyle w:val="Heading2"/>
      </w:pPr>
      <w:r>
        <w:t xml:space="preserve">For Policy &amp; Regulatory Bodies</w:t>
      </w:r>
    </w:p>
    <w:p>
      <w:pPr>
        <w:pStyle w:val="ListParagraph"/>
        <w:numPr>
          <w:ilvl w:val="0"/>
          <w:numId w:val="2"/>
        </w:numPr>
      </w:pPr>
      <w:r>
        <w:t xml:space="preserve">Monitor surge pricing practices (Careem at 33.50% signals potential supply constraints)</w:t>
      </w:r>
    </w:p>
    <w:p>
      <w:pPr>
        <w:pStyle w:val="ListParagraph"/>
        <w:numPr>
          <w:ilvl w:val="0"/>
          <w:numId w:val="2"/>
        </w:numPr>
      </w:pPr>
      <w:r>
        <w:t xml:space="preserve">Driver supply is critical competitive factor — policies supporting driver welfare improve market stability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Transparent pricing/surge mechanisms protect consumer welfare given high price sensitivity</w:t>
      </w:r>
    </w:p>
    <w:r>
      <w:br w:type="page"/>
    </w:r>
    <w:p>
      <w:pPr>
        <w:pStyle w:val="Heading1"/>
      </w:pPr>
      <w:r>
        <w:t xml:space="preserve">Research Limitations</w:t>
      </w:r>
    </w:p>
    <w:p>
      <w:pPr>
        <w:pStyle w:val="ListParagraph"/>
        <w:numPr>
          <w:ilvl w:val="0"/>
          <w:numId w:val="2"/>
        </w:numPr>
      </w:pPr>
      <w:r>
        <w:t xml:space="preserve">Sample limited to urban Karachi users aged 18-45; findings may not represent peripheral or older demographics</w:t>
      </w:r>
    </w:p>
    <w:p>
      <w:pPr>
        <w:pStyle w:val="ListParagraph"/>
        <w:numPr>
          <w:ilvl w:val="0"/>
          <w:numId w:val="2"/>
        </w:numPr>
      </w:pPr>
      <w:r>
        <w:t xml:space="preserve">Fare data collected during single time period; seasonal variation not captured</w:t>
      </w:r>
    </w:p>
    <w:p>
      <w:pPr>
        <w:pStyle w:val="ListParagraph"/>
        <w:numPr>
          <w:ilvl w:val="0"/>
          <w:numId w:val="2"/>
        </w:numPr>
      </w:pPr>
      <w:r>
        <w:t xml:space="preserve">Survey self-reported; behavioral data (actual routes taken) not verified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Driver perspective and supply-side economics not assessed</w:t>
      </w:r>
    </w:p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Karachi's ride-hailing market demonstrates mature competitive dynamics with clear differentiation. inDrive's market leadership reflects successful positioning on both price and experience. The 55.8% price spread between highest and lowest-cost operators indicates substantial room for competitive maneuver based on strategy.</w:t>
      </w:r>
    </w:p>
    <w:p>
      <w:pPr>
        <w:spacing w:after="120"/>
      </w:pPr>
      <w:r>
        <w:t xml:space="preserve">Price sensitivity (31% of switching drivers) remains the primary market lever, but user satisfaction metrics show experience and reliability matter equally. The market rewards operators who balance affordability with reliability.</w:t>
      </w:r>
    </w:p>
    <w:p>
      <w:pPr>
        <w:spacing w:after="200"/>
      </w:pPr>
      <w:r>
        <w:t xml:space="preserve">Strong usage frequency (50%+ using 3+ times weekly) and high switching rates (48% switched in 6 months) indicate both market maturity and continued volatility. No app has achieved lock-in loyalty, creating ongoing competitive vulnerability for all players.</w:t>
      </w:r>
    </w:p>
    <w:p>
      <w:pPr>
        <w:pStyle w:val="Heading1"/>
      </w:pPr>
      <w:r>
        <w:t xml:space="preserve">Appendix: Methodology Details</w:t>
      </w:r>
    </w:p>
    <w:p>
      <w:pPr>
        <w:spacing w:after="200"/>
      </w:pPr>
      <w:r>
        <w:t xml:space="preserve">All data collected June 2025. Survey deployed via Google Forms. Fare testing conducted across 5 routes at 3 time periods on all 4 apps. SQL database created for all fare data with version control for reproducibility. Python analysis and Power BI dashboard available upon request.</w:t>
      </w:r>
    </w:p>
    <w:p>
      <w:pPr>
        <w:spacing w:after="200"/>
      </w:pPr>
      <w:r>
        <w:t xml:space="preserve">Research instruments, raw data, and analysis code available in GitHub repository: github.com/[username]/pakistan-ridehailing-analysis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2026-06-27T09:47:30.234Z</dcterms:created>
  <dcterms:modified xsi:type="dcterms:W3CDTF">2026-06-27T09:47:30.234Z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