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E0E56" w14:textId="77777777" w:rsidR="00C46FB6" w:rsidRDefault="00C46FB6">
      <w:pPr>
        <w:spacing w:before="2200"/>
      </w:pPr>
    </w:p>
    <w:p w14:paraId="4B08B350" w14:textId="77777777" w:rsidR="00C46FB6" w:rsidRDefault="00000000">
      <w:pPr>
        <w:jc w:val="center"/>
      </w:pPr>
      <w:r>
        <w:rPr>
          <w:b/>
          <w:bCs/>
          <w:color w:val="1B2A4A"/>
          <w:sz w:val="52"/>
          <w:szCs w:val="52"/>
        </w:rPr>
        <w:t>U.S. BUSINESS FORMATION</w:t>
      </w:r>
    </w:p>
    <w:p w14:paraId="27D3D523" w14:textId="77777777" w:rsidR="00C46FB6" w:rsidRDefault="00000000">
      <w:pPr>
        <w:spacing w:before="100" w:after="100"/>
        <w:jc w:val="center"/>
      </w:pPr>
      <w:r>
        <w:rPr>
          <w:b/>
          <w:bCs/>
          <w:color w:val="B8860B"/>
          <w:sz w:val="52"/>
          <w:szCs w:val="52"/>
        </w:rPr>
        <w:t>&amp; COMPLIANCE SERVICES</w:t>
      </w:r>
    </w:p>
    <w:p w14:paraId="04A467BA" w14:textId="77777777" w:rsidR="00C46FB6" w:rsidRDefault="00C46FB6">
      <w:pPr>
        <w:pBdr>
          <w:bottom w:val="single" w:sz="8" w:space="8" w:color="B8860B"/>
        </w:pBdr>
        <w:spacing w:before="300"/>
        <w:jc w:val="center"/>
      </w:pPr>
    </w:p>
    <w:p w14:paraId="322BED0A" w14:textId="77777777" w:rsidR="00C46FB6" w:rsidRDefault="00000000">
      <w:pPr>
        <w:spacing w:before="400"/>
        <w:jc w:val="center"/>
      </w:pPr>
      <w:r>
        <w:rPr>
          <w:i/>
          <w:iCs/>
          <w:color w:val="444444"/>
          <w:sz w:val="24"/>
          <w:szCs w:val="24"/>
        </w:rPr>
        <w:t xml:space="preserve">Company </w:t>
      </w:r>
      <w:proofErr w:type="gramStart"/>
      <w:r>
        <w:rPr>
          <w:i/>
          <w:iCs/>
          <w:color w:val="444444"/>
          <w:sz w:val="24"/>
          <w:szCs w:val="24"/>
        </w:rPr>
        <w:t>Formation  •</w:t>
      </w:r>
      <w:proofErr w:type="gramEnd"/>
      <w:r>
        <w:rPr>
          <w:i/>
          <w:iCs/>
          <w:color w:val="444444"/>
          <w:sz w:val="24"/>
          <w:szCs w:val="24"/>
        </w:rPr>
        <w:t xml:space="preserve">  Tax </w:t>
      </w:r>
      <w:proofErr w:type="gramStart"/>
      <w:r>
        <w:rPr>
          <w:i/>
          <w:iCs/>
          <w:color w:val="444444"/>
          <w:sz w:val="24"/>
          <w:szCs w:val="24"/>
        </w:rPr>
        <w:t>Filing  •</w:t>
      </w:r>
      <w:proofErr w:type="gramEnd"/>
      <w:r>
        <w:rPr>
          <w:i/>
          <w:iCs/>
          <w:color w:val="444444"/>
          <w:sz w:val="24"/>
          <w:szCs w:val="24"/>
        </w:rPr>
        <w:t xml:space="preserve">  </w:t>
      </w:r>
      <w:proofErr w:type="gramStart"/>
      <w:r>
        <w:rPr>
          <w:i/>
          <w:iCs/>
          <w:color w:val="444444"/>
          <w:sz w:val="24"/>
          <w:szCs w:val="24"/>
        </w:rPr>
        <w:t>Bookkeeping  •</w:t>
      </w:r>
      <w:proofErr w:type="gramEnd"/>
      <w:r>
        <w:rPr>
          <w:i/>
          <w:iCs/>
          <w:color w:val="444444"/>
          <w:sz w:val="24"/>
          <w:szCs w:val="24"/>
        </w:rPr>
        <w:t xml:space="preserve">  </w:t>
      </w:r>
      <w:proofErr w:type="gramStart"/>
      <w:r>
        <w:rPr>
          <w:i/>
          <w:iCs/>
          <w:color w:val="444444"/>
          <w:sz w:val="24"/>
          <w:szCs w:val="24"/>
        </w:rPr>
        <w:t>Payroll  •</w:t>
      </w:r>
      <w:proofErr w:type="gramEnd"/>
      <w:r>
        <w:rPr>
          <w:i/>
          <w:iCs/>
          <w:color w:val="444444"/>
          <w:sz w:val="24"/>
          <w:szCs w:val="24"/>
        </w:rPr>
        <w:t xml:space="preserve">  Legal Compliance</w:t>
      </w:r>
    </w:p>
    <w:p w14:paraId="5A316163" w14:textId="77777777" w:rsidR="00C46FB6" w:rsidRDefault="00000000">
      <w:pPr>
        <w:spacing w:before="2000"/>
        <w:jc w:val="center"/>
      </w:pPr>
      <w:r>
        <w:rPr>
          <w:b/>
          <w:bCs/>
          <w:caps/>
          <w:color w:val="1B2A4A"/>
        </w:rPr>
        <w:t>SERVICE BROCHURE</w:t>
      </w:r>
    </w:p>
    <w:p w14:paraId="3371FB1E" w14:textId="77777777" w:rsidR="00C46FB6" w:rsidRDefault="00C46FB6">
      <w:pPr>
        <w:sectPr w:rsidR="00C46FB6">
          <w:headerReference w:type="even" r:id="rId7"/>
          <w:headerReference w:type="default" r:id="rId8"/>
          <w:headerReference w:type="first" r:id="rId9"/>
          <w:pgSz w:w="12240" w:h="15840"/>
          <w:pgMar w:top="0" w:right="0" w:bottom="0" w:left="0" w:header="708" w:footer="708" w:gutter="0"/>
          <w:cols w:space="720"/>
          <w:docGrid w:linePitch="360"/>
        </w:sectPr>
      </w:pPr>
    </w:p>
    <w:p w14:paraId="36BB73CF" w14:textId="77777777" w:rsidR="00C46FB6" w:rsidRDefault="00000000">
      <w:pPr>
        <w:pStyle w:val="Heading1"/>
        <w:pBdr>
          <w:bottom w:val="single" w:sz="6" w:space="4" w:color="B8860B"/>
        </w:pBdr>
        <w:spacing w:after="160"/>
      </w:pPr>
      <w:r>
        <w:rPr>
          <w:b/>
          <w:bCs/>
          <w:color w:val="1B2A4A"/>
          <w:sz w:val="30"/>
          <w:szCs w:val="30"/>
        </w:rPr>
        <w:lastRenderedPageBreak/>
        <w:t>Our Services</w:t>
      </w:r>
    </w:p>
    <w:p w14:paraId="505691BB" w14:textId="77777777" w:rsidR="00C46FB6" w:rsidRDefault="00000000">
      <w:pPr>
        <w:spacing w:after="120"/>
      </w:pPr>
      <w:r>
        <w:rPr>
          <w:color w:val="444444"/>
          <w:sz w:val="21"/>
          <w:szCs w:val="21"/>
        </w:rPr>
        <w:t xml:space="preserve">Starting and running a business in the United States involves far more than simply registering a company — it requires the right formation strategy, ongoing tax compliance, accurate bookkeeping, dependable payroll, and timely legal filings. Our firm brings </w:t>
      </w:r>
      <w:proofErr w:type="gramStart"/>
      <w:r>
        <w:rPr>
          <w:color w:val="444444"/>
          <w:sz w:val="21"/>
          <w:szCs w:val="21"/>
        </w:rPr>
        <w:t>all of</w:t>
      </w:r>
      <w:proofErr w:type="gramEnd"/>
      <w:r>
        <w:rPr>
          <w:color w:val="444444"/>
          <w:sz w:val="21"/>
          <w:szCs w:val="21"/>
        </w:rPr>
        <w:t xml:space="preserve"> these disciplines together under one roof, giving founders, entrepreneurs, and growing companies a single, trusted partner from day one through every year that follows. Whether you are a first-time founder incorporating your first U.S. entity or an established company expanding across state lines, our team manages the details so you can focus on building your business. Below is a detailed look at each of the services we provide.</w:t>
      </w:r>
    </w:p>
    <w:p w14:paraId="2421A25B" w14:textId="77777777" w:rsidR="00C46FB6" w:rsidRDefault="00000000">
      <w:pPr>
        <w:pStyle w:val="Heading1"/>
        <w:pBdr>
          <w:bottom w:val="single" w:sz="6" w:space="4" w:color="B8860B"/>
        </w:pBdr>
        <w:spacing w:before="380" w:after="160"/>
      </w:pPr>
      <w:r>
        <w:rPr>
          <w:b/>
          <w:bCs/>
          <w:color w:val="B8860B"/>
          <w:sz w:val="28"/>
          <w:szCs w:val="28"/>
        </w:rPr>
        <w:t xml:space="preserve">1.  </w:t>
      </w:r>
      <w:r>
        <w:rPr>
          <w:b/>
          <w:bCs/>
          <w:color w:val="1B2A4A"/>
          <w:sz w:val="28"/>
          <w:szCs w:val="28"/>
        </w:rPr>
        <w:t>Company Formation</w:t>
      </w:r>
    </w:p>
    <w:p w14:paraId="395E345B" w14:textId="77777777" w:rsidR="00C46FB6" w:rsidRDefault="00000000">
      <w:pPr>
        <w:spacing w:after="120"/>
      </w:pPr>
      <w:r>
        <w:rPr>
          <w:color w:val="444444"/>
          <w:sz w:val="21"/>
          <w:szCs w:val="21"/>
        </w:rPr>
        <w:t>Choosing where to form your company is one of the most consequential early decisions a founder makes — it affects your tax exposure, your privacy, your compliance workload, and how easily you can raise capital or open a bank account down the line. We guide you through this decision and handle the entire formation process, from drafting and filing your Articles of Organization or Incorporation to obtaining your formation documents, so your company is properly established from the outset. We currently support formation in the following states, and can advise on which is the best fit for your specific business model:</w:t>
      </w:r>
    </w:p>
    <w:p w14:paraId="6E0B62D8" w14:textId="77777777" w:rsidR="00C46FB6" w:rsidRDefault="00000000">
      <w:pPr>
        <w:pStyle w:val="ListParagraph"/>
        <w:numPr>
          <w:ilvl w:val="0"/>
          <w:numId w:val="2"/>
        </w:numPr>
        <w:spacing w:after="80"/>
      </w:pPr>
      <w:r>
        <w:rPr>
          <w:b/>
          <w:bCs/>
          <w:color w:val="1B2A4A"/>
          <w:sz w:val="21"/>
          <w:szCs w:val="21"/>
        </w:rPr>
        <w:t xml:space="preserve">Texas — </w:t>
      </w:r>
      <w:r>
        <w:rPr>
          <w:color w:val="444444"/>
          <w:sz w:val="21"/>
          <w:szCs w:val="21"/>
        </w:rPr>
        <w:t>A business-friendly state with no personal or corporate state income tax, making it an attractive option for companies that plan to maintain a genuine physical or operational presence, hire local employees, or serve customers directly within the state.</w:t>
      </w:r>
    </w:p>
    <w:p w14:paraId="45DBE5DD" w14:textId="77777777" w:rsidR="00C46FB6" w:rsidRDefault="00000000">
      <w:pPr>
        <w:pStyle w:val="ListParagraph"/>
        <w:numPr>
          <w:ilvl w:val="0"/>
          <w:numId w:val="2"/>
        </w:numPr>
        <w:spacing w:after="80"/>
      </w:pPr>
      <w:r>
        <w:rPr>
          <w:b/>
          <w:bCs/>
          <w:color w:val="1B2A4A"/>
          <w:sz w:val="21"/>
          <w:szCs w:val="21"/>
        </w:rPr>
        <w:t xml:space="preserve">Florida — </w:t>
      </w:r>
      <w:r>
        <w:rPr>
          <w:color w:val="444444"/>
          <w:sz w:val="21"/>
          <w:szCs w:val="21"/>
        </w:rPr>
        <w:t xml:space="preserve">Also free of state income tax, Florida is a longtime </w:t>
      </w:r>
      <w:proofErr w:type="spellStart"/>
      <w:r>
        <w:rPr>
          <w:color w:val="444444"/>
          <w:sz w:val="21"/>
          <w:szCs w:val="21"/>
        </w:rPr>
        <w:t>favorite</w:t>
      </w:r>
      <w:proofErr w:type="spellEnd"/>
      <w:r>
        <w:rPr>
          <w:color w:val="444444"/>
          <w:sz w:val="21"/>
          <w:szCs w:val="21"/>
        </w:rPr>
        <w:t xml:space="preserve"> for real estate investment entities, e-commerce businesses, and general commercial operations thanks to its large economy and founder-friendly business climate.</w:t>
      </w:r>
    </w:p>
    <w:p w14:paraId="200E309F" w14:textId="77777777" w:rsidR="00C46FB6" w:rsidRDefault="00000000">
      <w:pPr>
        <w:pStyle w:val="ListParagraph"/>
        <w:numPr>
          <w:ilvl w:val="0"/>
          <w:numId w:val="2"/>
        </w:numPr>
        <w:spacing w:after="80"/>
      </w:pPr>
      <w:r>
        <w:rPr>
          <w:b/>
          <w:bCs/>
          <w:color w:val="1B2A4A"/>
          <w:sz w:val="21"/>
          <w:szCs w:val="21"/>
        </w:rPr>
        <w:t xml:space="preserve">Wyoming — </w:t>
      </w:r>
      <w:r>
        <w:rPr>
          <w:color w:val="444444"/>
          <w:sz w:val="21"/>
          <w:szCs w:val="21"/>
        </w:rPr>
        <w:t>Widely regarded as one of the most founder-friendly states in the country, Wyoming charges no state income tax, keeps formation and renewal fees low, and does not require members or managers of an LLC to be publicly listed — making it a top choice for non-resident founders, solo entrepreneurs, and online businesses that value privacy and simplicity.</w:t>
      </w:r>
    </w:p>
    <w:p w14:paraId="5B6BF55D" w14:textId="77777777" w:rsidR="00C46FB6" w:rsidRDefault="00000000">
      <w:pPr>
        <w:pStyle w:val="ListParagraph"/>
        <w:numPr>
          <w:ilvl w:val="0"/>
          <w:numId w:val="2"/>
        </w:numPr>
        <w:spacing w:after="80"/>
      </w:pPr>
      <w:r>
        <w:rPr>
          <w:b/>
          <w:bCs/>
          <w:color w:val="1B2A4A"/>
          <w:sz w:val="21"/>
          <w:szCs w:val="21"/>
        </w:rPr>
        <w:t xml:space="preserve">New Mexico — </w:t>
      </w:r>
      <w:r>
        <w:rPr>
          <w:color w:val="444444"/>
          <w:sz w:val="21"/>
          <w:szCs w:val="21"/>
        </w:rPr>
        <w:t>New Mexico stands out for not requiring an annual report at all, which meaningfully reduces ongoing administrative work. Combined with low formation costs and strong privacy protections, it is frequently chosen for holding companies and asset-protection structures.</w:t>
      </w:r>
    </w:p>
    <w:p w14:paraId="57B0D410" w14:textId="77777777" w:rsidR="00C46FB6" w:rsidRDefault="00000000">
      <w:pPr>
        <w:pStyle w:val="ListParagraph"/>
        <w:numPr>
          <w:ilvl w:val="0"/>
          <w:numId w:val="2"/>
        </w:numPr>
        <w:spacing w:after="80"/>
      </w:pPr>
      <w:r>
        <w:rPr>
          <w:b/>
          <w:bCs/>
          <w:color w:val="1B2A4A"/>
          <w:sz w:val="21"/>
          <w:szCs w:val="21"/>
        </w:rPr>
        <w:t xml:space="preserve">New Jersey — </w:t>
      </w:r>
      <w:r>
        <w:rPr>
          <w:color w:val="444444"/>
          <w:sz w:val="21"/>
          <w:szCs w:val="21"/>
        </w:rPr>
        <w:t xml:space="preserve">While formation and franchise costs run higher than in some other states, New Jersey is the right choice for businesses that intend to physically operate, employ staff, or generate revenue there, since forming in the state where you </w:t>
      </w:r>
      <w:proofErr w:type="gramStart"/>
      <w:r>
        <w:rPr>
          <w:color w:val="444444"/>
          <w:sz w:val="21"/>
          <w:szCs w:val="21"/>
        </w:rPr>
        <w:t>actually do</w:t>
      </w:r>
      <w:proofErr w:type="gramEnd"/>
      <w:r>
        <w:rPr>
          <w:color w:val="444444"/>
          <w:sz w:val="21"/>
          <w:szCs w:val="21"/>
        </w:rPr>
        <w:t xml:space="preserve"> business often simplifies compliance.</w:t>
      </w:r>
    </w:p>
    <w:p w14:paraId="35C45D81" w14:textId="77777777" w:rsidR="00C46FB6" w:rsidRDefault="00000000">
      <w:pPr>
        <w:pStyle w:val="ListParagraph"/>
        <w:numPr>
          <w:ilvl w:val="0"/>
          <w:numId w:val="2"/>
        </w:numPr>
        <w:spacing w:after="80"/>
      </w:pPr>
      <w:r>
        <w:rPr>
          <w:b/>
          <w:bCs/>
          <w:color w:val="1B2A4A"/>
          <w:sz w:val="21"/>
          <w:szCs w:val="21"/>
        </w:rPr>
        <w:t xml:space="preserve">Montana — </w:t>
      </w:r>
      <w:r>
        <w:rPr>
          <w:color w:val="444444"/>
          <w:sz w:val="21"/>
          <w:szCs w:val="21"/>
        </w:rPr>
        <w:t xml:space="preserve">Montana is best known as a </w:t>
      </w:r>
      <w:proofErr w:type="spellStart"/>
      <w:r>
        <w:rPr>
          <w:color w:val="444444"/>
          <w:sz w:val="21"/>
          <w:szCs w:val="21"/>
        </w:rPr>
        <w:t>favorable</w:t>
      </w:r>
      <w:proofErr w:type="spellEnd"/>
      <w:r>
        <w:rPr>
          <w:color w:val="444444"/>
          <w:sz w:val="21"/>
          <w:szCs w:val="21"/>
        </w:rPr>
        <w:t xml:space="preserve"> jurisdiction for registering vehicles and recreational vehicles through an LLC structure, and it can also serve select general business purposes depending on your circumstances.</w:t>
      </w:r>
    </w:p>
    <w:p w14:paraId="4943E2B9" w14:textId="77777777" w:rsidR="00C46FB6" w:rsidRDefault="00000000">
      <w:pPr>
        <w:pStyle w:val="ListParagraph"/>
        <w:numPr>
          <w:ilvl w:val="0"/>
          <w:numId w:val="2"/>
        </w:numPr>
        <w:spacing w:after="80"/>
      </w:pPr>
      <w:r>
        <w:rPr>
          <w:b/>
          <w:bCs/>
          <w:color w:val="1B2A4A"/>
          <w:sz w:val="21"/>
          <w:szCs w:val="21"/>
        </w:rPr>
        <w:t xml:space="preserve">Other States — </w:t>
      </w:r>
      <w:r>
        <w:rPr>
          <w:color w:val="444444"/>
          <w:sz w:val="21"/>
          <w:szCs w:val="21"/>
        </w:rPr>
        <w:t>Beyond these six, we can form your company in any U.S. state. The right jurisdiction ultimately depends on where you conduct business, where your customers and employees are located, and your long-term growth plans — we'll help you weigh those factors before you commit.</w:t>
      </w:r>
    </w:p>
    <w:p w14:paraId="4C5DAA46" w14:textId="77777777" w:rsidR="00C46FB6" w:rsidRDefault="00000000">
      <w:pPr>
        <w:pStyle w:val="Heading1"/>
        <w:pBdr>
          <w:bottom w:val="single" w:sz="6" w:space="4" w:color="B8860B"/>
        </w:pBdr>
        <w:spacing w:before="380" w:after="160"/>
      </w:pPr>
      <w:r>
        <w:rPr>
          <w:b/>
          <w:bCs/>
          <w:color w:val="B8860B"/>
          <w:sz w:val="28"/>
          <w:szCs w:val="28"/>
        </w:rPr>
        <w:t xml:space="preserve">2.  </w:t>
      </w:r>
      <w:r>
        <w:rPr>
          <w:b/>
          <w:bCs/>
          <w:color w:val="1B2A4A"/>
          <w:sz w:val="28"/>
          <w:szCs w:val="28"/>
        </w:rPr>
        <w:t>Income Tax Return Filing / Compliance</w:t>
      </w:r>
    </w:p>
    <w:p w14:paraId="405A1BD1" w14:textId="77777777" w:rsidR="00C46FB6" w:rsidRDefault="00000000">
      <w:pPr>
        <w:spacing w:after="120"/>
      </w:pPr>
      <w:r>
        <w:rPr>
          <w:color w:val="444444"/>
          <w:sz w:val="21"/>
          <w:szCs w:val="21"/>
        </w:rPr>
        <w:t>Every individual and business with U.S. tax obligations must file the correct annual return with the Internal Revenue Service, and choosing the correct form — and filing it accurately and on time — is essential to staying in good standing and avoiding costly penalties. We prepare and file the full range of federal individual and business income tax returns, tailored to your residency status and entity structure.</w:t>
      </w:r>
    </w:p>
    <w:p w14:paraId="5BE9F957" w14:textId="77777777" w:rsidR="00C46FB6" w:rsidRDefault="00000000">
      <w:pPr>
        <w:spacing w:before="160" w:after="80"/>
      </w:pPr>
      <w:r>
        <w:rPr>
          <w:b/>
          <w:bCs/>
          <w:color w:val="1B2A4A"/>
          <w:sz w:val="22"/>
          <w:szCs w:val="22"/>
        </w:rPr>
        <w:t>Individual Returns</w:t>
      </w:r>
    </w:p>
    <w:p w14:paraId="3A0F6555" w14:textId="77777777" w:rsidR="00C46FB6" w:rsidRDefault="00000000">
      <w:pPr>
        <w:pStyle w:val="ListParagraph"/>
        <w:numPr>
          <w:ilvl w:val="0"/>
          <w:numId w:val="2"/>
        </w:numPr>
        <w:spacing w:after="80"/>
      </w:pPr>
      <w:r>
        <w:rPr>
          <w:b/>
          <w:bCs/>
          <w:color w:val="1B2A4A"/>
          <w:sz w:val="21"/>
          <w:szCs w:val="21"/>
        </w:rPr>
        <w:lastRenderedPageBreak/>
        <w:t xml:space="preserve">Form 1040 — </w:t>
      </w:r>
      <w:r>
        <w:rPr>
          <w:color w:val="444444"/>
          <w:sz w:val="21"/>
          <w:szCs w:val="21"/>
        </w:rPr>
        <w:t>The standard annual income tax return for U.S. tax residents, including citizens, green card holders, and individuals who meet the IRS's substantial presence test. We calculate your taxable income, apply eligible deductions and credits, and file on your behalf.</w:t>
      </w:r>
    </w:p>
    <w:p w14:paraId="7BAF48D7" w14:textId="77777777" w:rsidR="00C46FB6" w:rsidRDefault="00000000">
      <w:pPr>
        <w:pStyle w:val="ListParagraph"/>
        <w:numPr>
          <w:ilvl w:val="0"/>
          <w:numId w:val="2"/>
        </w:numPr>
        <w:spacing w:after="80"/>
      </w:pPr>
      <w:r>
        <w:rPr>
          <w:b/>
          <w:bCs/>
          <w:color w:val="1B2A4A"/>
          <w:sz w:val="21"/>
          <w:szCs w:val="21"/>
        </w:rPr>
        <w:t xml:space="preserve">Form 1040-NR — </w:t>
      </w:r>
      <w:r>
        <w:rPr>
          <w:color w:val="444444"/>
          <w:sz w:val="21"/>
          <w:szCs w:val="21"/>
        </w:rPr>
        <w:t>Designed specifically for non-resident aliens who earn U.S.-sourced income but do not meet U.S. residency requirements. This return follows different rules and rates than the standard 1040, and we ensure it is prepared correctly to reflect your non-resident status.</w:t>
      </w:r>
    </w:p>
    <w:p w14:paraId="0E8A4D94" w14:textId="77777777" w:rsidR="00C46FB6" w:rsidRDefault="00000000">
      <w:pPr>
        <w:spacing w:before="160" w:after="80"/>
      </w:pPr>
      <w:r>
        <w:rPr>
          <w:b/>
          <w:bCs/>
          <w:color w:val="1B2A4A"/>
          <w:sz w:val="22"/>
          <w:szCs w:val="22"/>
        </w:rPr>
        <w:t>Business Returns</w:t>
      </w:r>
    </w:p>
    <w:p w14:paraId="6ACEE8C6" w14:textId="77777777" w:rsidR="00C46FB6" w:rsidRDefault="00000000">
      <w:pPr>
        <w:pStyle w:val="ListParagraph"/>
        <w:numPr>
          <w:ilvl w:val="0"/>
          <w:numId w:val="2"/>
        </w:numPr>
        <w:spacing w:after="80"/>
      </w:pPr>
      <w:r>
        <w:rPr>
          <w:b/>
          <w:bCs/>
          <w:color w:val="1B2A4A"/>
          <w:sz w:val="21"/>
          <w:szCs w:val="21"/>
        </w:rPr>
        <w:t xml:space="preserve">Form 1065 — </w:t>
      </w:r>
      <w:r>
        <w:rPr>
          <w:color w:val="444444"/>
          <w:sz w:val="21"/>
          <w:szCs w:val="21"/>
        </w:rPr>
        <w:t>The information return required for partnerships and multi-member LLCs. The business itself does not pay income tax directly; instead, profits and losses pass through to the individual owners, who report their share on their personal returns. We prepare the 1065 along with the accompanying Schedule K-1 for each partner or member.</w:t>
      </w:r>
    </w:p>
    <w:p w14:paraId="1EC4F51C" w14:textId="77777777" w:rsidR="00C46FB6" w:rsidRDefault="00000000">
      <w:pPr>
        <w:pStyle w:val="ListParagraph"/>
        <w:numPr>
          <w:ilvl w:val="0"/>
          <w:numId w:val="2"/>
        </w:numPr>
        <w:spacing w:after="80"/>
      </w:pPr>
      <w:r>
        <w:rPr>
          <w:b/>
          <w:bCs/>
          <w:color w:val="1B2A4A"/>
          <w:sz w:val="21"/>
          <w:szCs w:val="21"/>
        </w:rPr>
        <w:t xml:space="preserve">Form 1120 — </w:t>
      </w:r>
      <w:r>
        <w:rPr>
          <w:color w:val="444444"/>
          <w:sz w:val="21"/>
          <w:szCs w:val="21"/>
        </w:rPr>
        <w:t>The corporate income tax return for C-Corporations. Unlike pass-through entities, a C-Corporation is taxed as its own legal entity, separate from its shareholders, and we handle the calculation and filing of this corporate-level tax obligation.</w:t>
      </w:r>
    </w:p>
    <w:p w14:paraId="04FBEC59" w14:textId="77777777" w:rsidR="00C46FB6" w:rsidRDefault="00000000">
      <w:pPr>
        <w:pStyle w:val="ListParagraph"/>
        <w:numPr>
          <w:ilvl w:val="0"/>
          <w:numId w:val="2"/>
        </w:numPr>
        <w:spacing w:after="80"/>
      </w:pPr>
      <w:r>
        <w:rPr>
          <w:b/>
          <w:bCs/>
          <w:color w:val="1B2A4A"/>
          <w:sz w:val="21"/>
          <w:szCs w:val="21"/>
        </w:rPr>
        <w:t xml:space="preserve">Form 1120-S — </w:t>
      </w:r>
      <w:r>
        <w:rPr>
          <w:color w:val="444444"/>
          <w:sz w:val="21"/>
          <w:szCs w:val="21"/>
        </w:rPr>
        <w:t xml:space="preserve">The return required for S-Corporations, a hybrid structure that offers pass-through taxation </w:t>
      </w:r>
      <w:proofErr w:type="gramStart"/>
      <w:r>
        <w:rPr>
          <w:color w:val="444444"/>
          <w:sz w:val="21"/>
          <w:szCs w:val="21"/>
        </w:rPr>
        <w:t>similar to</w:t>
      </w:r>
      <w:proofErr w:type="gramEnd"/>
      <w:r>
        <w:rPr>
          <w:color w:val="444444"/>
          <w:sz w:val="21"/>
          <w:szCs w:val="21"/>
        </w:rPr>
        <w:t xml:space="preserve"> a partnership while retaining certain corporate liability protections. S-Corporation status comes with eligibility restrictions, and we help ensure your filing remains compliant with those rules.</w:t>
      </w:r>
    </w:p>
    <w:p w14:paraId="4FA6B626" w14:textId="77777777" w:rsidR="00C46FB6" w:rsidRDefault="00000000">
      <w:pPr>
        <w:pStyle w:val="Heading1"/>
        <w:pBdr>
          <w:bottom w:val="single" w:sz="6" w:space="4" w:color="B8860B"/>
        </w:pBdr>
        <w:spacing w:before="380" w:after="160"/>
      </w:pPr>
      <w:r>
        <w:rPr>
          <w:b/>
          <w:bCs/>
          <w:color w:val="B8860B"/>
          <w:sz w:val="28"/>
          <w:szCs w:val="28"/>
        </w:rPr>
        <w:t xml:space="preserve">3.  </w:t>
      </w:r>
      <w:r>
        <w:rPr>
          <w:b/>
          <w:bCs/>
          <w:color w:val="1B2A4A"/>
          <w:sz w:val="28"/>
          <w:szCs w:val="28"/>
        </w:rPr>
        <w:t>EIN and ITIN</w:t>
      </w:r>
    </w:p>
    <w:p w14:paraId="49A6A2E6" w14:textId="77777777" w:rsidR="00C46FB6" w:rsidRDefault="00000000">
      <w:pPr>
        <w:spacing w:after="120"/>
      </w:pPr>
      <w:r>
        <w:rPr>
          <w:color w:val="444444"/>
          <w:sz w:val="21"/>
          <w:szCs w:val="21"/>
        </w:rPr>
        <w:t>Before you can open a bank account, hire employees, or file a single tax return, your business and its owners typically need the proper federal identification numbers. We handle the application process for both of the following, saving you the time and confusion of navigating IRS procedures on your own:</w:t>
      </w:r>
    </w:p>
    <w:p w14:paraId="18C43C41" w14:textId="77777777" w:rsidR="00C46FB6" w:rsidRDefault="00000000">
      <w:pPr>
        <w:pStyle w:val="ListParagraph"/>
        <w:numPr>
          <w:ilvl w:val="0"/>
          <w:numId w:val="2"/>
        </w:numPr>
        <w:spacing w:after="80"/>
      </w:pPr>
      <w:r>
        <w:rPr>
          <w:b/>
          <w:bCs/>
          <w:color w:val="1B2A4A"/>
          <w:sz w:val="21"/>
          <w:szCs w:val="21"/>
        </w:rPr>
        <w:t xml:space="preserve">EIN (Employer Identification Number) — </w:t>
      </w:r>
      <w:r>
        <w:rPr>
          <w:color w:val="444444"/>
          <w:sz w:val="21"/>
          <w:szCs w:val="21"/>
        </w:rPr>
        <w:t>Essentially a Social Security number for your business, issued directly by the IRS. An EIN is required to open a U.S. business bank account, hire employees, file federal and state tax returns, and establish business credit. We prepare and submit your EIN application and follow up with the IRS to ensure prompt issuance.</w:t>
      </w:r>
    </w:p>
    <w:p w14:paraId="3B485644" w14:textId="77777777" w:rsidR="00C46FB6" w:rsidRDefault="00000000">
      <w:pPr>
        <w:pStyle w:val="ListParagraph"/>
        <w:numPr>
          <w:ilvl w:val="0"/>
          <w:numId w:val="2"/>
        </w:numPr>
        <w:spacing w:after="80"/>
      </w:pPr>
      <w:r>
        <w:rPr>
          <w:b/>
          <w:bCs/>
          <w:color w:val="1B2A4A"/>
          <w:sz w:val="21"/>
          <w:szCs w:val="21"/>
        </w:rPr>
        <w:t xml:space="preserve">ITIN (Individual Taxpayer Identification Number) — </w:t>
      </w:r>
      <w:r>
        <w:rPr>
          <w:color w:val="444444"/>
          <w:sz w:val="21"/>
          <w:szCs w:val="21"/>
        </w:rPr>
        <w:t>A tax processing number issued to individuals who are required to file a U.S. tax return but are not eligible for a Social Security Number — most commonly, foreign business owners. We prepare the application, assist with the required identity documentation, and guide you through submission to the IRS.</w:t>
      </w:r>
    </w:p>
    <w:p w14:paraId="61224192" w14:textId="77777777" w:rsidR="00C46FB6" w:rsidRDefault="00000000">
      <w:pPr>
        <w:pStyle w:val="Heading1"/>
        <w:pBdr>
          <w:bottom w:val="single" w:sz="6" w:space="4" w:color="B8860B"/>
        </w:pBdr>
        <w:spacing w:before="380" w:after="160"/>
      </w:pPr>
      <w:r>
        <w:rPr>
          <w:b/>
          <w:bCs/>
          <w:color w:val="B8860B"/>
          <w:sz w:val="28"/>
          <w:szCs w:val="28"/>
        </w:rPr>
        <w:t xml:space="preserve">4.  </w:t>
      </w:r>
      <w:r>
        <w:rPr>
          <w:b/>
          <w:bCs/>
          <w:color w:val="1B2A4A"/>
          <w:sz w:val="28"/>
          <w:szCs w:val="28"/>
        </w:rPr>
        <w:t>Business Bank Account Setup</w:t>
      </w:r>
    </w:p>
    <w:p w14:paraId="7A3A7A31" w14:textId="77777777" w:rsidR="00C46FB6" w:rsidRDefault="00000000">
      <w:pPr>
        <w:spacing w:after="120"/>
      </w:pPr>
      <w:r>
        <w:rPr>
          <w:color w:val="444444"/>
          <w:sz w:val="21"/>
          <w:szCs w:val="21"/>
        </w:rPr>
        <w:t>Many founders, particularly those based outside the United States, find it difficult to open a business bank account with a traditional U.S. bank without an in-person visit or an established U.S. credit history. To solve this, we help you set up business banking and payment processing through leading global fintech platforms, giving you a fast, remote-friendly way to receive payments, hold multiple currencies, and manage your company's finances from anywhere in the world:</w:t>
      </w:r>
    </w:p>
    <w:p w14:paraId="306EA92E" w14:textId="77777777" w:rsidR="00C46FB6" w:rsidRDefault="00000000">
      <w:pPr>
        <w:pStyle w:val="ListParagraph"/>
        <w:numPr>
          <w:ilvl w:val="0"/>
          <w:numId w:val="2"/>
        </w:numPr>
        <w:spacing w:after="80"/>
      </w:pPr>
      <w:proofErr w:type="spellStart"/>
      <w:r>
        <w:rPr>
          <w:b/>
          <w:bCs/>
          <w:color w:val="1B2A4A"/>
          <w:sz w:val="21"/>
          <w:szCs w:val="21"/>
        </w:rPr>
        <w:t>AirWallex</w:t>
      </w:r>
      <w:proofErr w:type="spellEnd"/>
      <w:r>
        <w:rPr>
          <w:b/>
          <w:bCs/>
          <w:color w:val="1B2A4A"/>
          <w:sz w:val="21"/>
          <w:szCs w:val="21"/>
        </w:rPr>
        <w:t xml:space="preserve"> — </w:t>
      </w:r>
      <w:r>
        <w:rPr>
          <w:color w:val="444444"/>
          <w:sz w:val="21"/>
          <w:szCs w:val="21"/>
        </w:rPr>
        <w:t>A global financial platform offering multi-currency business accounts, local payment collection in numerous countries, and competitive international transfer rates.</w:t>
      </w:r>
    </w:p>
    <w:p w14:paraId="205D1B76" w14:textId="77777777" w:rsidR="00C46FB6" w:rsidRDefault="00000000">
      <w:pPr>
        <w:pStyle w:val="ListParagraph"/>
        <w:numPr>
          <w:ilvl w:val="0"/>
          <w:numId w:val="2"/>
        </w:numPr>
        <w:spacing w:after="80"/>
      </w:pPr>
      <w:r>
        <w:rPr>
          <w:b/>
          <w:bCs/>
          <w:color w:val="1B2A4A"/>
          <w:sz w:val="21"/>
          <w:szCs w:val="21"/>
        </w:rPr>
        <w:t xml:space="preserve">Stripe — </w:t>
      </w:r>
      <w:r>
        <w:rPr>
          <w:color w:val="444444"/>
          <w:sz w:val="21"/>
          <w:szCs w:val="21"/>
        </w:rPr>
        <w:t>A leading payment processing platform ideal for businesses that sell products or services online and need to accept credit card and other digital payments at scale.</w:t>
      </w:r>
    </w:p>
    <w:p w14:paraId="2EF337DD" w14:textId="77777777" w:rsidR="00C46FB6" w:rsidRDefault="00000000">
      <w:pPr>
        <w:pStyle w:val="ListParagraph"/>
        <w:numPr>
          <w:ilvl w:val="0"/>
          <w:numId w:val="2"/>
        </w:numPr>
        <w:spacing w:after="80"/>
      </w:pPr>
      <w:r>
        <w:rPr>
          <w:b/>
          <w:bCs/>
          <w:color w:val="1B2A4A"/>
          <w:sz w:val="21"/>
          <w:szCs w:val="21"/>
        </w:rPr>
        <w:t xml:space="preserve">Wise — </w:t>
      </w:r>
      <w:r>
        <w:rPr>
          <w:color w:val="444444"/>
          <w:sz w:val="21"/>
          <w:szCs w:val="21"/>
        </w:rPr>
        <w:t>Known for transparent, low-cost international money transfers and multi-currency account features that make cross-border business easier to manage.</w:t>
      </w:r>
    </w:p>
    <w:p w14:paraId="43B2E364" w14:textId="77777777" w:rsidR="00C46FB6" w:rsidRDefault="00000000">
      <w:pPr>
        <w:pStyle w:val="ListParagraph"/>
        <w:numPr>
          <w:ilvl w:val="0"/>
          <w:numId w:val="2"/>
        </w:numPr>
        <w:spacing w:after="80"/>
      </w:pPr>
      <w:proofErr w:type="spellStart"/>
      <w:r>
        <w:rPr>
          <w:b/>
          <w:bCs/>
          <w:color w:val="1B2A4A"/>
          <w:sz w:val="21"/>
          <w:szCs w:val="21"/>
        </w:rPr>
        <w:t>PingPong</w:t>
      </w:r>
      <w:proofErr w:type="spellEnd"/>
      <w:r>
        <w:rPr>
          <w:b/>
          <w:bCs/>
          <w:color w:val="1B2A4A"/>
          <w:sz w:val="21"/>
          <w:szCs w:val="21"/>
        </w:rPr>
        <w:t xml:space="preserve"> — </w:t>
      </w:r>
      <w:r>
        <w:rPr>
          <w:color w:val="444444"/>
          <w:sz w:val="21"/>
          <w:szCs w:val="21"/>
        </w:rPr>
        <w:t>A payment platform particularly popular among e-commerce sellers and cross-border businesses for receiving international payments efficiently.</w:t>
      </w:r>
    </w:p>
    <w:p w14:paraId="40CA3F75" w14:textId="77777777" w:rsidR="00C46FB6" w:rsidRDefault="00000000">
      <w:pPr>
        <w:pStyle w:val="ListParagraph"/>
        <w:numPr>
          <w:ilvl w:val="0"/>
          <w:numId w:val="2"/>
        </w:numPr>
        <w:spacing w:after="80"/>
      </w:pPr>
      <w:r>
        <w:rPr>
          <w:b/>
          <w:bCs/>
          <w:color w:val="1B2A4A"/>
          <w:sz w:val="21"/>
          <w:szCs w:val="21"/>
        </w:rPr>
        <w:lastRenderedPageBreak/>
        <w:t xml:space="preserve">Payoneer — </w:t>
      </w:r>
      <w:r>
        <w:rPr>
          <w:color w:val="444444"/>
          <w:sz w:val="21"/>
          <w:szCs w:val="21"/>
        </w:rPr>
        <w:t>A widely used global payments platform that enables businesses to receive funds from international clients and marketplaces, and to make outbound payments with ease.</w:t>
      </w:r>
    </w:p>
    <w:p w14:paraId="29F133F6" w14:textId="77777777" w:rsidR="00C46FB6" w:rsidRDefault="00000000">
      <w:pPr>
        <w:spacing w:after="120"/>
      </w:pPr>
      <w:r>
        <w:rPr>
          <w:color w:val="444444"/>
          <w:sz w:val="21"/>
          <w:szCs w:val="21"/>
        </w:rPr>
        <w:t>We assist with account applications, documentation requirements, and platform setup so you can start receiving and managing funds with minimal delay.</w:t>
      </w:r>
    </w:p>
    <w:p w14:paraId="256330A5" w14:textId="77777777" w:rsidR="00C46FB6" w:rsidRDefault="00000000">
      <w:pPr>
        <w:pStyle w:val="Heading1"/>
        <w:pBdr>
          <w:bottom w:val="single" w:sz="6" w:space="4" w:color="B8860B"/>
        </w:pBdr>
        <w:spacing w:before="380" w:after="160"/>
      </w:pPr>
      <w:r>
        <w:rPr>
          <w:b/>
          <w:bCs/>
          <w:color w:val="B8860B"/>
          <w:sz w:val="28"/>
          <w:szCs w:val="28"/>
        </w:rPr>
        <w:t xml:space="preserve">5.  </w:t>
      </w:r>
      <w:r>
        <w:rPr>
          <w:b/>
          <w:bCs/>
          <w:color w:val="1B2A4A"/>
          <w:sz w:val="28"/>
          <w:szCs w:val="28"/>
        </w:rPr>
        <w:t>Trademark Registration</w:t>
      </w:r>
    </w:p>
    <w:p w14:paraId="694E0055" w14:textId="77777777" w:rsidR="00C46FB6" w:rsidRDefault="00000000">
      <w:pPr>
        <w:spacing w:after="120"/>
      </w:pPr>
      <w:r>
        <w:rPr>
          <w:color w:val="444444"/>
          <w:sz w:val="21"/>
          <w:szCs w:val="21"/>
        </w:rPr>
        <w:t>Your business name, logo, and slogan are among your most valuable assets, and without formal legal protection, competitors may be free to use similar branding — or worse, register it before you do. We manage the trademark registration process with the United States Patent and Trademark Office (USPTO) from start to finish, including conducting a preliminary clearance search to assess the availability of your mark, preparing and filing the application, and responding to any office actions raised during examination. A registered trademark gives you exclusive nationwide rights to your brand identity and the legal standing to act against infringement.</w:t>
      </w:r>
    </w:p>
    <w:p w14:paraId="706FA746" w14:textId="77777777" w:rsidR="00C46FB6" w:rsidRDefault="00000000">
      <w:pPr>
        <w:pStyle w:val="Heading1"/>
        <w:pBdr>
          <w:bottom w:val="single" w:sz="6" w:space="4" w:color="B8860B"/>
        </w:pBdr>
        <w:spacing w:before="380" w:after="160"/>
      </w:pPr>
      <w:r>
        <w:rPr>
          <w:b/>
          <w:bCs/>
          <w:color w:val="B8860B"/>
          <w:sz w:val="28"/>
          <w:szCs w:val="28"/>
        </w:rPr>
        <w:t xml:space="preserve">6.  </w:t>
      </w:r>
      <w:r>
        <w:rPr>
          <w:b/>
          <w:bCs/>
          <w:color w:val="1B2A4A"/>
          <w:sz w:val="28"/>
          <w:szCs w:val="28"/>
        </w:rPr>
        <w:t>Bookkeeping Services</w:t>
      </w:r>
    </w:p>
    <w:p w14:paraId="067125F0" w14:textId="77777777" w:rsidR="00C46FB6" w:rsidRDefault="00000000">
      <w:pPr>
        <w:spacing w:after="120"/>
      </w:pPr>
      <w:r>
        <w:rPr>
          <w:color w:val="444444"/>
          <w:sz w:val="21"/>
          <w:szCs w:val="21"/>
        </w:rPr>
        <w:t>Accurate, up-to-date financial records are the foundation of good decision-making, successful tax filing, and investor confidence. Our bookkeeping team manages your day-to-day transaction recording, bank and credit card reconciliation, categorization of income and expenses, and monthly financial reporting — using whichever accounting platform best suits your business:</w:t>
      </w:r>
    </w:p>
    <w:p w14:paraId="3DC92541" w14:textId="77777777" w:rsidR="00C46FB6" w:rsidRDefault="00000000">
      <w:pPr>
        <w:pStyle w:val="ListParagraph"/>
        <w:numPr>
          <w:ilvl w:val="0"/>
          <w:numId w:val="2"/>
        </w:numPr>
        <w:spacing w:after="80"/>
      </w:pPr>
      <w:r>
        <w:rPr>
          <w:b/>
          <w:bCs/>
          <w:color w:val="1B2A4A"/>
          <w:sz w:val="21"/>
          <w:szCs w:val="21"/>
        </w:rPr>
        <w:t xml:space="preserve">QuickBooks, Zoho, Sage, and Xero — </w:t>
      </w:r>
      <w:r>
        <w:rPr>
          <w:color w:val="444444"/>
          <w:sz w:val="21"/>
          <w:szCs w:val="21"/>
        </w:rPr>
        <w:t>We offer full setup and ongoing management across all four major platforms, including chart-of-accounts configuration, transaction entry, bank feed reconciliation, and generation of monthly or quarterly reports, so you always have a clear, current picture of your company's financial position.</w:t>
      </w:r>
    </w:p>
    <w:p w14:paraId="68A709E0" w14:textId="77777777" w:rsidR="00C46FB6" w:rsidRDefault="00000000">
      <w:pPr>
        <w:pStyle w:val="ListParagraph"/>
        <w:numPr>
          <w:ilvl w:val="0"/>
          <w:numId w:val="2"/>
        </w:numPr>
        <w:spacing w:after="80"/>
      </w:pPr>
      <w:r>
        <w:rPr>
          <w:b/>
          <w:bCs/>
          <w:color w:val="1B2A4A"/>
          <w:sz w:val="21"/>
          <w:szCs w:val="21"/>
        </w:rPr>
        <w:t xml:space="preserve">Financial Statement Preparation (IFRS and US GAAP) — </w:t>
      </w:r>
      <w:r>
        <w:rPr>
          <w:color w:val="444444"/>
          <w:sz w:val="21"/>
          <w:szCs w:val="21"/>
        </w:rPr>
        <w:t>For businesses that need financial statements for investors, lenders, foreign parent companies, or regulatory purposes, we prepare formal statements — including balance sheets, income statements, and cash flow statements — in full accordance with either International Financial Reporting Standards (IFRS) or U.S. Generally Accepted Accounting Principles (US GAAP), depending on your reporting requirements.</w:t>
      </w:r>
    </w:p>
    <w:p w14:paraId="6B32B95A" w14:textId="77777777" w:rsidR="00C46FB6" w:rsidRDefault="00000000">
      <w:pPr>
        <w:pStyle w:val="Heading1"/>
        <w:pBdr>
          <w:bottom w:val="single" w:sz="6" w:space="4" w:color="B8860B"/>
        </w:pBdr>
        <w:spacing w:before="380" w:after="160"/>
      </w:pPr>
      <w:r>
        <w:rPr>
          <w:b/>
          <w:bCs/>
          <w:color w:val="B8860B"/>
          <w:sz w:val="28"/>
          <w:szCs w:val="28"/>
        </w:rPr>
        <w:t xml:space="preserve">7.  </w:t>
      </w:r>
      <w:r>
        <w:rPr>
          <w:b/>
          <w:bCs/>
          <w:color w:val="1B2A4A"/>
          <w:sz w:val="28"/>
          <w:szCs w:val="28"/>
        </w:rPr>
        <w:t>Payroll Processing</w:t>
      </w:r>
    </w:p>
    <w:p w14:paraId="13FDAFE1" w14:textId="77777777" w:rsidR="00C46FB6" w:rsidRDefault="00000000">
      <w:pPr>
        <w:spacing w:after="120"/>
      </w:pPr>
      <w:r>
        <w:rPr>
          <w:color w:val="444444"/>
          <w:sz w:val="21"/>
          <w:szCs w:val="21"/>
        </w:rPr>
        <w:t>Once your business begins hiring employees, payroll compliance becomes a recurring federal and state obligation with strict deadlines and significant penalties for errors or late filings. We manage the full payroll compliance cycle, calculating withholdings, preparing filings, and ensuring your business meets every deadline at both the federal and state level:</w:t>
      </w:r>
    </w:p>
    <w:p w14:paraId="0650F9B9" w14:textId="77777777" w:rsidR="00C46FB6" w:rsidRDefault="00000000">
      <w:pPr>
        <w:pStyle w:val="ListParagraph"/>
        <w:numPr>
          <w:ilvl w:val="0"/>
          <w:numId w:val="2"/>
        </w:numPr>
        <w:spacing w:after="80"/>
      </w:pPr>
      <w:r>
        <w:rPr>
          <w:b/>
          <w:bCs/>
          <w:color w:val="1B2A4A"/>
          <w:sz w:val="21"/>
          <w:szCs w:val="21"/>
        </w:rPr>
        <w:t xml:space="preserve">Form 940 — </w:t>
      </w:r>
      <w:r>
        <w:rPr>
          <w:color w:val="444444"/>
          <w:sz w:val="21"/>
          <w:szCs w:val="21"/>
        </w:rPr>
        <w:t>The annual federal return used to report and pay Federal Unemployment Tax Act (FUTA) tax, which funds unemployment compensation programs for workers who lose their jobs.</w:t>
      </w:r>
    </w:p>
    <w:p w14:paraId="6B88DD69" w14:textId="77777777" w:rsidR="00C46FB6" w:rsidRDefault="00000000">
      <w:pPr>
        <w:pStyle w:val="ListParagraph"/>
        <w:numPr>
          <w:ilvl w:val="0"/>
          <w:numId w:val="2"/>
        </w:numPr>
        <w:spacing w:after="80"/>
      </w:pPr>
      <w:r>
        <w:rPr>
          <w:b/>
          <w:bCs/>
          <w:color w:val="1B2A4A"/>
          <w:sz w:val="21"/>
          <w:szCs w:val="21"/>
        </w:rPr>
        <w:t xml:space="preserve">Form 941 — </w:t>
      </w:r>
      <w:r>
        <w:rPr>
          <w:color w:val="444444"/>
          <w:sz w:val="21"/>
          <w:szCs w:val="21"/>
        </w:rPr>
        <w:t xml:space="preserve">The quarterly federal return used to report income taxes, Social Security tax, and Medicare tax withheld from employee </w:t>
      </w:r>
      <w:proofErr w:type="spellStart"/>
      <w:r>
        <w:rPr>
          <w:color w:val="444444"/>
          <w:sz w:val="21"/>
          <w:szCs w:val="21"/>
        </w:rPr>
        <w:t>paychecks</w:t>
      </w:r>
      <w:proofErr w:type="spellEnd"/>
      <w:r>
        <w:rPr>
          <w:color w:val="444444"/>
          <w:sz w:val="21"/>
          <w:szCs w:val="21"/>
        </w:rPr>
        <w:t>, along with the employer's matching share of Social Security and Medicare taxes.</w:t>
      </w:r>
    </w:p>
    <w:p w14:paraId="7CA2EF9D" w14:textId="77777777" w:rsidR="00C46FB6" w:rsidRDefault="00000000">
      <w:pPr>
        <w:pStyle w:val="ListParagraph"/>
        <w:numPr>
          <w:ilvl w:val="0"/>
          <w:numId w:val="2"/>
        </w:numPr>
        <w:spacing w:after="80"/>
      </w:pPr>
      <w:r>
        <w:rPr>
          <w:b/>
          <w:bCs/>
          <w:color w:val="1B2A4A"/>
          <w:sz w:val="21"/>
          <w:szCs w:val="21"/>
        </w:rPr>
        <w:t xml:space="preserve">State Payroll Compliance — </w:t>
      </w:r>
      <w:r>
        <w:rPr>
          <w:color w:val="444444"/>
          <w:sz w:val="21"/>
          <w:szCs w:val="21"/>
        </w:rPr>
        <w:t xml:space="preserve">Beyond federal obligations, most states impose their own payroll tax registration, withholding, and filing requirements. We handle state-level registration and ongoing </w:t>
      </w:r>
      <w:proofErr w:type="gramStart"/>
      <w:r>
        <w:rPr>
          <w:color w:val="444444"/>
          <w:sz w:val="21"/>
          <w:szCs w:val="21"/>
        </w:rPr>
        <w:t>compliance</w:t>
      </w:r>
      <w:proofErr w:type="gramEnd"/>
      <w:r>
        <w:rPr>
          <w:color w:val="444444"/>
          <w:sz w:val="21"/>
          <w:szCs w:val="21"/>
        </w:rPr>
        <w:t xml:space="preserve"> so your payroll operations remain fully compliant no matter which state your employees are located in.</w:t>
      </w:r>
    </w:p>
    <w:p w14:paraId="11CF5E96" w14:textId="77777777" w:rsidR="00C46FB6" w:rsidRDefault="00000000">
      <w:pPr>
        <w:pStyle w:val="Heading1"/>
        <w:pBdr>
          <w:bottom w:val="single" w:sz="6" w:space="4" w:color="B8860B"/>
        </w:pBdr>
        <w:spacing w:before="380" w:after="160"/>
      </w:pPr>
      <w:r>
        <w:rPr>
          <w:b/>
          <w:bCs/>
          <w:color w:val="B8860B"/>
          <w:sz w:val="28"/>
          <w:szCs w:val="28"/>
        </w:rPr>
        <w:t xml:space="preserve">8.  </w:t>
      </w:r>
      <w:r>
        <w:rPr>
          <w:b/>
          <w:bCs/>
          <w:color w:val="1B2A4A"/>
          <w:sz w:val="28"/>
          <w:szCs w:val="28"/>
        </w:rPr>
        <w:t>IRS and State Notice Resolution</w:t>
      </w:r>
    </w:p>
    <w:p w14:paraId="5B6C6068" w14:textId="77777777" w:rsidR="00C46FB6" w:rsidRDefault="00000000">
      <w:pPr>
        <w:spacing w:after="120"/>
      </w:pPr>
      <w:r>
        <w:rPr>
          <w:color w:val="444444"/>
          <w:sz w:val="21"/>
          <w:szCs w:val="21"/>
        </w:rPr>
        <w:lastRenderedPageBreak/>
        <w:t>Receiving a notice from the IRS or a state tax authority can be stressful, but most notices are resolvable with the right response prepared correctly and submitted on time. Our team reviews every notice you receive, determines the appropriate course of action, and communicates directly with the relevant tax authority on your behalf:</w:t>
      </w:r>
    </w:p>
    <w:p w14:paraId="67BB4D4C" w14:textId="77777777" w:rsidR="00C46FB6" w:rsidRDefault="00000000">
      <w:pPr>
        <w:pStyle w:val="ListParagraph"/>
        <w:numPr>
          <w:ilvl w:val="0"/>
          <w:numId w:val="2"/>
        </w:numPr>
        <w:spacing w:after="80"/>
      </w:pPr>
      <w:r>
        <w:rPr>
          <w:b/>
          <w:bCs/>
          <w:color w:val="1B2A4A"/>
          <w:sz w:val="21"/>
          <w:szCs w:val="21"/>
        </w:rPr>
        <w:t xml:space="preserve">Penalty Abatement Waiver — </w:t>
      </w:r>
      <w:r>
        <w:rPr>
          <w:color w:val="444444"/>
          <w:sz w:val="21"/>
          <w:szCs w:val="21"/>
        </w:rPr>
        <w:t>If your business has incurred penalties for late filing or late payment, we prepare and submit a formal request for penalty relief, often citing reasonable cause or first-time abatement provisions, to reduce or eliminate the assessed penalty.</w:t>
      </w:r>
    </w:p>
    <w:p w14:paraId="17913C72" w14:textId="77777777" w:rsidR="00C46FB6" w:rsidRDefault="00000000">
      <w:pPr>
        <w:pStyle w:val="ListParagraph"/>
        <w:numPr>
          <w:ilvl w:val="0"/>
          <w:numId w:val="2"/>
        </w:numPr>
        <w:spacing w:after="80"/>
      </w:pPr>
      <w:r>
        <w:rPr>
          <w:b/>
          <w:bCs/>
          <w:color w:val="1B2A4A"/>
          <w:sz w:val="21"/>
          <w:szCs w:val="21"/>
        </w:rPr>
        <w:t xml:space="preserve">Additional Requirement Compliance — </w:t>
      </w:r>
      <w:r>
        <w:rPr>
          <w:color w:val="444444"/>
          <w:sz w:val="21"/>
          <w:szCs w:val="21"/>
        </w:rPr>
        <w:t>When the IRS or a state agency requests additional documentation, clarification, or missing filings, we compile and submit the required information promptly to bring your account back into full compliance.</w:t>
      </w:r>
    </w:p>
    <w:p w14:paraId="39C8A11B" w14:textId="77777777" w:rsidR="00C46FB6" w:rsidRDefault="00000000">
      <w:pPr>
        <w:pStyle w:val="ListParagraph"/>
        <w:numPr>
          <w:ilvl w:val="0"/>
          <w:numId w:val="2"/>
        </w:numPr>
        <w:spacing w:after="80"/>
      </w:pPr>
      <w:r>
        <w:rPr>
          <w:b/>
          <w:bCs/>
          <w:color w:val="1B2A4A"/>
          <w:sz w:val="21"/>
          <w:szCs w:val="21"/>
        </w:rPr>
        <w:t xml:space="preserve">Other Notice Resolution — </w:t>
      </w:r>
      <w:r>
        <w:rPr>
          <w:color w:val="444444"/>
          <w:sz w:val="21"/>
          <w:szCs w:val="21"/>
        </w:rPr>
        <w:t>For any other type of correspondence or dispute — including audits, balance-due notices, or account discrepancies — we provide comprehensive support to resolve the matter as efficiently as possible.</w:t>
      </w:r>
    </w:p>
    <w:p w14:paraId="60D94B6B" w14:textId="77777777" w:rsidR="00C46FB6" w:rsidRDefault="00000000">
      <w:pPr>
        <w:pStyle w:val="Heading1"/>
        <w:pBdr>
          <w:bottom w:val="single" w:sz="6" w:space="4" w:color="B8860B"/>
        </w:pBdr>
        <w:spacing w:before="380" w:after="160"/>
      </w:pPr>
      <w:r>
        <w:rPr>
          <w:b/>
          <w:bCs/>
          <w:color w:val="B8860B"/>
          <w:sz w:val="28"/>
          <w:szCs w:val="28"/>
        </w:rPr>
        <w:t xml:space="preserve">9.  </w:t>
      </w:r>
      <w:r>
        <w:rPr>
          <w:b/>
          <w:bCs/>
          <w:color w:val="1B2A4A"/>
          <w:sz w:val="28"/>
          <w:szCs w:val="28"/>
        </w:rPr>
        <w:t>Legal Reports and Certificates</w:t>
      </w:r>
    </w:p>
    <w:p w14:paraId="0B2F3412" w14:textId="77777777" w:rsidR="00C46FB6" w:rsidRDefault="00000000">
      <w:pPr>
        <w:spacing w:after="120"/>
      </w:pPr>
      <w:r>
        <w:rPr>
          <w:color w:val="444444"/>
          <w:sz w:val="21"/>
          <w:szCs w:val="21"/>
        </w:rPr>
        <w:t>Beyond taxes, U.S. companies are subject to a range of ongoing state and federal reporting obligations designed to keep company records current and to promote financial transparency. Missing these filings can result in penalties, loss of good standing, or even administrative dissolution of your company. We track every applicable deadline and prepare and file each of the following on your behalf:</w:t>
      </w:r>
    </w:p>
    <w:p w14:paraId="2CED551B" w14:textId="77777777" w:rsidR="00C46FB6" w:rsidRDefault="00000000">
      <w:pPr>
        <w:pStyle w:val="ListParagraph"/>
        <w:numPr>
          <w:ilvl w:val="0"/>
          <w:numId w:val="2"/>
        </w:numPr>
        <w:spacing w:after="80"/>
      </w:pPr>
      <w:r>
        <w:rPr>
          <w:b/>
          <w:bCs/>
          <w:color w:val="1B2A4A"/>
          <w:sz w:val="21"/>
          <w:szCs w:val="21"/>
        </w:rPr>
        <w:t xml:space="preserve">Annual Report — </w:t>
      </w:r>
      <w:r>
        <w:rPr>
          <w:color w:val="444444"/>
          <w:sz w:val="21"/>
          <w:szCs w:val="21"/>
        </w:rPr>
        <w:t>A yearly filing submitted to your state of formation confirming that your company's basic information — such as registered agent, address, and management details — remains accurate and current. Most states charge a fee and impose penalties for late or missed filings.</w:t>
      </w:r>
    </w:p>
    <w:p w14:paraId="27E6B9FD" w14:textId="77777777" w:rsidR="00C46FB6" w:rsidRDefault="00000000">
      <w:pPr>
        <w:pStyle w:val="ListParagraph"/>
        <w:numPr>
          <w:ilvl w:val="0"/>
          <w:numId w:val="2"/>
        </w:numPr>
        <w:spacing w:after="80"/>
      </w:pPr>
      <w:r>
        <w:rPr>
          <w:b/>
          <w:bCs/>
          <w:color w:val="1B2A4A"/>
          <w:sz w:val="21"/>
          <w:szCs w:val="21"/>
        </w:rPr>
        <w:t xml:space="preserve">BOI Report (Beneficial Ownership Information) — </w:t>
      </w:r>
      <w:r>
        <w:rPr>
          <w:color w:val="444444"/>
          <w:sz w:val="21"/>
          <w:szCs w:val="21"/>
        </w:rPr>
        <w:t>A federal filing submitted to FinCEN (the Financial Crimes Enforcement Network) that discloses the individuals who ultimately own or control the company. This filing was introduced as part of broader efforts to combat money laundering and financial crime, and applies to most small companies formed or registered in the U.S.</w:t>
      </w:r>
    </w:p>
    <w:p w14:paraId="5979D5D5" w14:textId="77777777" w:rsidR="00C46FB6" w:rsidRDefault="00000000">
      <w:pPr>
        <w:pStyle w:val="ListParagraph"/>
        <w:numPr>
          <w:ilvl w:val="0"/>
          <w:numId w:val="2"/>
        </w:numPr>
        <w:spacing w:after="80"/>
      </w:pPr>
      <w:r>
        <w:rPr>
          <w:b/>
          <w:bCs/>
          <w:color w:val="1B2A4A"/>
          <w:sz w:val="21"/>
          <w:szCs w:val="21"/>
        </w:rPr>
        <w:t xml:space="preserve">UBO Report (Ultimate Beneficial Owner) — </w:t>
      </w:r>
      <w:r>
        <w:rPr>
          <w:color w:val="444444"/>
          <w:sz w:val="21"/>
          <w:szCs w:val="21"/>
        </w:rPr>
        <w:t>Similar in purpose to the BOI report, this filing identifies the real individuals who ultimately benefit from or exercise control over the company — a requirement that is increasingly common in international compliance frameworks and often relevant for companies with foreign ownership or banking relationships.</w:t>
      </w:r>
    </w:p>
    <w:p w14:paraId="320D2BB0" w14:textId="77777777" w:rsidR="00C46FB6" w:rsidRDefault="00000000">
      <w:pPr>
        <w:pStyle w:val="ListParagraph"/>
        <w:numPr>
          <w:ilvl w:val="0"/>
          <w:numId w:val="2"/>
        </w:numPr>
        <w:spacing w:after="80"/>
      </w:pPr>
      <w:r>
        <w:rPr>
          <w:b/>
          <w:bCs/>
          <w:color w:val="1B2A4A"/>
          <w:sz w:val="21"/>
          <w:szCs w:val="21"/>
        </w:rPr>
        <w:t xml:space="preserve">FBAR (FinCEN Form 114) — </w:t>
      </w:r>
      <w:r>
        <w:rPr>
          <w:color w:val="444444"/>
          <w:sz w:val="21"/>
          <w:szCs w:val="21"/>
        </w:rPr>
        <w:t>Required whenever a U.S. person or entity holds one or more foreign financial accounts with an aggregate value exceeding $10,000 at any point during the calendar year. This report is filed separately from your income tax return and carries substantial penalties for non-compliance, making timely and accurate filing essential.</w:t>
      </w:r>
    </w:p>
    <w:p w14:paraId="3E51DA93" w14:textId="77777777" w:rsidR="00C46FB6" w:rsidRDefault="00000000">
      <w:pPr>
        <w:pStyle w:val="ListParagraph"/>
        <w:numPr>
          <w:ilvl w:val="0"/>
          <w:numId w:val="2"/>
        </w:numPr>
        <w:spacing w:after="80"/>
      </w:pPr>
      <w:r>
        <w:rPr>
          <w:b/>
          <w:bCs/>
          <w:color w:val="1B2A4A"/>
          <w:sz w:val="21"/>
          <w:szCs w:val="21"/>
        </w:rPr>
        <w:t xml:space="preserve">Form 1120 Pro Forma + 5472 — </w:t>
      </w:r>
      <w:r>
        <w:rPr>
          <w:color w:val="444444"/>
          <w:sz w:val="21"/>
          <w:szCs w:val="21"/>
        </w:rPr>
        <w:t>A specialized filing required for foreign-owned single-member LLCs that are treated as disregarded entities for tax purposes. Even when no U.S. tax is owed, this filing discloses reportable transactions between the LLC and its foreign owner, and the penalties for failing to file are significant — we ensure this often-overlooked requirement is never missed.</w:t>
      </w:r>
    </w:p>
    <w:p w14:paraId="653B18DC" w14:textId="77777777" w:rsidR="00C46FB6" w:rsidRDefault="00000000">
      <w:pPr>
        <w:pStyle w:val="ListParagraph"/>
        <w:numPr>
          <w:ilvl w:val="0"/>
          <w:numId w:val="2"/>
        </w:numPr>
        <w:spacing w:after="80"/>
      </w:pPr>
      <w:r>
        <w:rPr>
          <w:b/>
          <w:bCs/>
          <w:color w:val="1B2A4A"/>
          <w:sz w:val="21"/>
          <w:szCs w:val="21"/>
        </w:rPr>
        <w:t xml:space="preserve">Registered Agent Setup — </w:t>
      </w:r>
      <w:r>
        <w:rPr>
          <w:color w:val="444444"/>
          <w:sz w:val="21"/>
          <w:szCs w:val="21"/>
        </w:rPr>
        <w:t>Every U.S. company is legally required to designate a registered agent — an individual or company based in the state of formation who is authorized to receive legal documents, service of process, and official government correspondence on the company's behalf. We arrange and maintain this service for you.</w:t>
      </w:r>
    </w:p>
    <w:p w14:paraId="2735997F" w14:textId="77777777" w:rsidR="00C46FB6" w:rsidRDefault="00000000">
      <w:pPr>
        <w:pStyle w:val="ListParagraph"/>
        <w:numPr>
          <w:ilvl w:val="0"/>
          <w:numId w:val="2"/>
        </w:numPr>
        <w:spacing w:after="80"/>
      </w:pPr>
      <w:r>
        <w:rPr>
          <w:b/>
          <w:bCs/>
          <w:color w:val="1B2A4A"/>
          <w:sz w:val="21"/>
          <w:szCs w:val="21"/>
        </w:rPr>
        <w:t xml:space="preserve">Reseller Certificate — </w:t>
      </w:r>
      <w:r>
        <w:rPr>
          <w:color w:val="444444"/>
          <w:sz w:val="21"/>
          <w:szCs w:val="21"/>
        </w:rPr>
        <w:t>A certificate that allows a business to purchase goods intended for resale without paying sales tax at the time of purchase, since sales tax will instead be collected from the end customer. We prepare and file for this certificate wherever your business qualifies.</w:t>
      </w:r>
    </w:p>
    <w:p w14:paraId="4E4E745A" w14:textId="77777777" w:rsidR="00C46FB6" w:rsidRDefault="00000000">
      <w:pPr>
        <w:pStyle w:val="ListParagraph"/>
        <w:numPr>
          <w:ilvl w:val="0"/>
          <w:numId w:val="2"/>
        </w:numPr>
        <w:spacing w:after="80"/>
      </w:pPr>
      <w:r>
        <w:rPr>
          <w:b/>
          <w:bCs/>
          <w:color w:val="1B2A4A"/>
          <w:sz w:val="21"/>
          <w:szCs w:val="21"/>
        </w:rPr>
        <w:t xml:space="preserve">Certificate of Good Standing — </w:t>
      </w:r>
      <w:r>
        <w:rPr>
          <w:color w:val="444444"/>
          <w:sz w:val="21"/>
          <w:szCs w:val="21"/>
        </w:rPr>
        <w:t xml:space="preserve">An official document issued by the state confirming that your company is properly registered, current on its filings, and authorized to legally conduct business. This certificate is </w:t>
      </w:r>
      <w:r>
        <w:rPr>
          <w:color w:val="444444"/>
          <w:sz w:val="21"/>
          <w:szCs w:val="21"/>
        </w:rPr>
        <w:lastRenderedPageBreak/>
        <w:t>frequently required when opening bank accounts, securing financing, entering contracts, or registering to do business in another state.</w:t>
      </w:r>
    </w:p>
    <w:p w14:paraId="32D28B05" w14:textId="77777777" w:rsidR="00C46FB6" w:rsidRDefault="00C46FB6">
      <w:pPr>
        <w:spacing w:before="400"/>
      </w:pPr>
    </w:p>
    <w:tbl>
      <w:tblPr>
        <w:tblW w:w="5000" w:type="pct"/>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C46FB6" w14:paraId="048494E3" w14:textId="77777777">
        <w:tblPrEx>
          <w:tblCellMar>
            <w:top w:w="0" w:type="dxa"/>
            <w:bottom w:w="0" w:type="dxa"/>
          </w:tblCellMar>
        </w:tblPrEx>
        <w:tc>
          <w:tcPr>
            <w:tcW w:w="5000" w:type="pct"/>
            <w:shd w:val="clear" w:color="auto" w:fill="F5EFE0"/>
            <w:tcMar>
              <w:top w:w="200" w:type="dxa"/>
              <w:left w:w="300" w:type="dxa"/>
              <w:bottom w:w="200" w:type="dxa"/>
              <w:right w:w="300" w:type="dxa"/>
            </w:tcMar>
          </w:tcPr>
          <w:p w14:paraId="522C0EFD" w14:textId="77777777" w:rsidR="00C46FB6" w:rsidRDefault="00000000">
            <w:pPr>
              <w:jc w:val="center"/>
            </w:pPr>
            <w:r>
              <w:rPr>
                <w:b/>
                <w:bCs/>
                <w:color w:val="1B2A4A"/>
                <w:sz w:val="26"/>
                <w:szCs w:val="26"/>
              </w:rPr>
              <w:t>Ready to get started?</w:t>
            </w:r>
          </w:p>
          <w:p w14:paraId="7F47E762" w14:textId="77777777" w:rsidR="00C46FB6" w:rsidRDefault="00000000">
            <w:pPr>
              <w:spacing w:before="100"/>
              <w:jc w:val="center"/>
            </w:pPr>
            <w:r>
              <w:rPr>
                <w:color w:val="444444"/>
                <w:sz w:val="21"/>
                <w:szCs w:val="21"/>
              </w:rPr>
              <w:t>Contact us today to discuss which services fit your business needs.</w:t>
            </w:r>
          </w:p>
        </w:tc>
      </w:tr>
    </w:tbl>
    <w:p w14:paraId="6D508CB9" w14:textId="77777777" w:rsidR="00F303A2" w:rsidRDefault="00F303A2"/>
    <w:sectPr w:rsidR="00F303A2">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AACFB" w14:textId="77777777" w:rsidR="00F303A2" w:rsidRDefault="00F303A2">
      <w:r>
        <w:separator/>
      </w:r>
    </w:p>
  </w:endnote>
  <w:endnote w:type="continuationSeparator" w:id="0">
    <w:p w14:paraId="13C769DA" w14:textId="77777777" w:rsidR="00F303A2" w:rsidRDefault="00F30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A10AD" w14:textId="77777777" w:rsidR="00C46FB6" w:rsidRDefault="00000000">
    <w:pPr>
      <w:jc w:val="center"/>
    </w:pPr>
    <w:r>
      <w:rPr>
        <w:color w:val="444444"/>
        <w:sz w:val="16"/>
        <w:szCs w:val="16"/>
      </w:rPr>
      <w:t xml:space="preserve">Page </w:t>
    </w:r>
    <w:r>
      <w:rPr>
        <w:color w:val="444444"/>
        <w:sz w:val="16"/>
        <w:szCs w:val="16"/>
      </w:rPr>
      <w:fldChar w:fldCharType="begin"/>
    </w:r>
    <w:r>
      <w:rPr>
        <w:color w:val="444444"/>
        <w:sz w:val="16"/>
        <w:szCs w:val="16"/>
      </w:rPr>
      <w:instrText>PAGE</w:instrText>
    </w:r>
    <w:r>
      <w:rPr>
        <w:color w:val="444444"/>
        <w:sz w:val="16"/>
        <w:szCs w:val="16"/>
      </w:rPr>
      <w:fldChar w:fldCharType="separate"/>
    </w:r>
    <w:r w:rsidR="00A60F3C">
      <w:rPr>
        <w:noProof/>
        <w:color w:val="444444"/>
        <w:sz w:val="16"/>
        <w:szCs w:val="16"/>
      </w:rPr>
      <w:t>2</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48F69" w14:textId="77777777" w:rsidR="00F303A2" w:rsidRDefault="00F303A2">
      <w:r>
        <w:separator/>
      </w:r>
    </w:p>
  </w:footnote>
  <w:footnote w:type="continuationSeparator" w:id="0">
    <w:p w14:paraId="6D9CE33D" w14:textId="77777777" w:rsidR="00F303A2" w:rsidRDefault="00F30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6364C" w14:textId="55AB5342" w:rsidR="00A60F3C" w:rsidRDefault="00A60F3C">
    <w:pPr>
      <w:pStyle w:val="Header"/>
    </w:pPr>
    <w:r>
      <w:rPr>
        <w:noProof/>
      </w:rPr>
      <mc:AlternateContent>
        <mc:Choice Requires="wps">
          <w:drawing>
            <wp:anchor distT="0" distB="0" distL="0" distR="0" simplePos="0" relativeHeight="251659264" behindDoc="0" locked="0" layoutInCell="1" allowOverlap="1" wp14:anchorId="28A5F23B" wp14:editId="1E041CD3">
              <wp:simplePos x="635" y="635"/>
              <wp:positionH relativeFrom="page">
                <wp:align>right</wp:align>
              </wp:positionH>
              <wp:positionV relativeFrom="page">
                <wp:align>top</wp:align>
              </wp:positionV>
              <wp:extent cx="530860" cy="314325"/>
              <wp:effectExtent l="0" t="0" r="0" b="9525"/>
              <wp:wrapNone/>
              <wp:docPr id="1538410600"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30860" cy="314325"/>
                      </a:xfrm>
                      <a:prstGeom prst="rect">
                        <a:avLst/>
                      </a:prstGeom>
                      <a:noFill/>
                      <a:ln>
                        <a:noFill/>
                      </a:ln>
                    </wps:spPr>
                    <wps:txbx>
                      <w:txbxContent>
                        <w:p w14:paraId="6ECD0FFA" w14:textId="4BEAD6E1" w:rsidR="00A60F3C" w:rsidRPr="00A60F3C" w:rsidRDefault="00A60F3C" w:rsidP="00A60F3C">
                          <w:pPr>
                            <w:rPr>
                              <w:rFonts w:ascii="Aptos" w:eastAsia="Aptos" w:hAnsi="Aptos" w:cs="Aptos"/>
                              <w:noProof/>
                              <w:color w:val="000000"/>
                              <w:sz w:val="16"/>
                              <w:szCs w:val="16"/>
                            </w:rPr>
                          </w:pPr>
                          <w:r w:rsidRPr="00A60F3C">
                            <w:rPr>
                              <w:rFonts w:ascii="Aptos" w:eastAsia="Aptos" w:hAnsi="Aptos" w:cs="Aptos"/>
                              <w:noProof/>
                              <w:color w:val="000000"/>
                              <w:sz w:val="16"/>
                              <w:szCs w:val="16"/>
                            </w:rPr>
                            <w:t>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8A5F23B" id="_x0000_t202" coordsize="21600,21600" o:spt="202" path="m,l,21600r21600,l21600,xe">
              <v:stroke joinstyle="miter"/>
              <v:path gradientshapeok="t" o:connecttype="rect"/>
            </v:shapetype>
            <v:shape id="Text Box 2" o:spid="_x0000_s1026" type="#_x0000_t202" alt="Public" style="position:absolute;margin-left:-9.4pt;margin-top:0;width:41.8pt;height:24.7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" filled="f" stroked="f">
              <v:fill o:detectmouseclick="t"/>
              <v:textbox style="mso-fit-shape-to-text:t" inset="0,15pt,20pt,0">
                <w:txbxContent>
                  <w:p w14:paraId="6ECD0FFA" w14:textId="4BEAD6E1" w:rsidR="00A60F3C" w:rsidRPr="00A60F3C" w:rsidRDefault="00A60F3C" w:rsidP="00A60F3C">
                    <w:pPr>
                      <w:rPr>
                        <w:rFonts w:ascii="Aptos" w:eastAsia="Aptos" w:hAnsi="Aptos" w:cs="Aptos"/>
                        <w:noProof/>
                        <w:color w:val="000000"/>
                        <w:sz w:val="16"/>
                        <w:szCs w:val="16"/>
                      </w:rPr>
                    </w:pPr>
                    <w:r w:rsidRPr="00A60F3C">
                      <w:rPr>
                        <w:rFonts w:ascii="Aptos" w:eastAsia="Aptos" w:hAnsi="Aptos" w:cs="Aptos"/>
                        <w:noProof/>
                        <w:color w:val="000000"/>
                        <w:sz w:val="16"/>
                        <w:szCs w:val="16"/>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06469" w14:textId="0D238AD2" w:rsidR="00A60F3C" w:rsidRDefault="00A60F3C">
    <w:pPr>
      <w:pStyle w:val="Header"/>
    </w:pPr>
    <w:r>
      <w:rPr>
        <w:noProof/>
      </w:rPr>
      <mc:AlternateContent>
        <mc:Choice Requires="wps">
          <w:drawing>
            <wp:anchor distT="0" distB="0" distL="0" distR="0" simplePos="0" relativeHeight="251660288" behindDoc="0" locked="0" layoutInCell="1" allowOverlap="1" wp14:anchorId="27914530" wp14:editId="473E21BF">
              <wp:simplePos x="0" y="447675"/>
              <wp:positionH relativeFrom="page">
                <wp:align>right</wp:align>
              </wp:positionH>
              <wp:positionV relativeFrom="page">
                <wp:align>top</wp:align>
              </wp:positionV>
              <wp:extent cx="530860" cy="314325"/>
              <wp:effectExtent l="0" t="0" r="0" b="9525"/>
              <wp:wrapNone/>
              <wp:docPr id="1432543013"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30860" cy="314325"/>
                      </a:xfrm>
                      <a:prstGeom prst="rect">
                        <a:avLst/>
                      </a:prstGeom>
                      <a:noFill/>
                      <a:ln>
                        <a:noFill/>
                      </a:ln>
                    </wps:spPr>
                    <wps:txbx>
                      <w:txbxContent>
                        <w:p w14:paraId="2FAF0136" w14:textId="67CE53F6" w:rsidR="00A60F3C" w:rsidRPr="00A60F3C" w:rsidRDefault="00A60F3C" w:rsidP="00A60F3C">
                          <w:pPr>
                            <w:rPr>
                              <w:rFonts w:ascii="Aptos" w:eastAsia="Aptos" w:hAnsi="Aptos" w:cs="Aptos"/>
                              <w:noProof/>
                              <w:color w:val="000000"/>
                              <w:sz w:val="16"/>
                              <w:szCs w:val="16"/>
                            </w:rPr>
                          </w:pPr>
                          <w:r w:rsidRPr="00A60F3C">
                            <w:rPr>
                              <w:rFonts w:ascii="Aptos" w:eastAsia="Aptos" w:hAnsi="Aptos" w:cs="Aptos"/>
                              <w:noProof/>
                              <w:color w:val="000000"/>
                              <w:sz w:val="16"/>
                              <w:szCs w:val="16"/>
                            </w:rPr>
                            <w:t>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7914530" id="_x0000_t202" coordsize="21600,21600" o:spt="202" path="m,l,21600r21600,l21600,xe">
              <v:stroke joinstyle="miter"/>
              <v:path gradientshapeok="t" o:connecttype="rect"/>
            </v:shapetype>
            <v:shape id="Text Box 3" o:spid="_x0000_s1027" type="#_x0000_t202" alt="Public" style="position:absolute;margin-left:-9.4pt;margin-top:0;width:41.8pt;height:24.7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" filled="f" stroked="f">
              <v:fill o:detectmouseclick="t"/>
              <v:textbox style="mso-fit-shape-to-text:t" inset="0,15pt,20pt,0">
                <w:txbxContent>
                  <w:p w14:paraId="2FAF0136" w14:textId="67CE53F6" w:rsidR="00A60F3C" w:rsidRPr="00A60F3C" w:rsidRDefault="00A60F3C" w:rsidP="00A60F3C">
                    <w:pPr>
                      <w:rPr>
                        <w:rFonts w:ascii="Aptos" w:eastAsia="Aptos" w:hAnsi="Aptos" w:cs="Aptos"/>
                        <w:noProof/>
                        <w:color w:val="000000"/>
                        <w:sz w:val="16"/>
                        <w:szCs w:val="16"/>
                      </w:rPr>
                    </w:pPr>
                    <w:r w:rsidRPr="00A60F3C">
                      <w:rPr>
                        <w:rFonts w:ascii="Aptos" w:eastAsia="Aptos" w:hAnsi="Aptos" w:cs="Aptos"/>
                        <w:noProof/>
                        <w:color w:val="000000"/>
                        <w:sz w:val="16"/>
                        <w:szCs w:val="16"/>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8AEB" w14:textId="75DBC790" w:rsidR="00A60F3C" w:rsidRDefault="00A60F3C">
    <w:pPr>
      <w:pStyle w:val="Header"/>
    </w:pPr>
    <w:r>
      <w:rPr>
        <w:noProof/>
      </w:rPr>
      <mc:AlternateContent>
        <mc:Choice Requires="wps">
          <w:drawing>
            <wp:anchor distT="0" distB="0" distL="0" distR="0" simplePos="0" relativeHeight="251658240" behindDoc="0" locked="0" layoutInCell="1" allowOverlap="1" wp14:anchorId="0B83D062" wp14:editId="113CAC96">
              <wp:simplePos x="635" y="635"/>
              <wp:positionH relativeFrom="page">
                <wp:align>right</wp:align>
              </wp:positionH>
              <wp:positionV relativeFrom="page">
                <wp:align>top</wp:align>
              </wp:positionV>
              <wp:extent cx="530860" cy="314325"/>
              <wp:effectExtent l="0" t="0" r="0" b="9525"/>
              <wp:wrapNone/>
              <wp:docPr id="1120874421"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30860" cy="314325"/>
                      </a:xfrm>
                      <a:prstGeom prst="rect">
                        <a:avLst/>
                      </a:prstGeom>
                      <a:noFill/>
                      <a:ln>
                        <a:noFill/>
                      </a:ln>
                    </wps:spPr>
                    <wps:txbx>
                      <w:txbxContent>
                        <w:p w14:paraId="543ADA1C" w14:textId="70CE4520" w:rsidR="00A60F3C" w:rsidRPr="00A60F3C" w:rsidRDefault="00A60F3C" w:rsidP="00A60F3C">
                          <w:pPr>
                            <w:rPr>
                              <w:rFonts w:ascii="Aptos" w:eastAsia="Aptos" w:hAnsi="Aptos" w:cs="Aptos"/>
                              <w:noProof/>
                              <w:color w:val="000000"/>
                              <w:sz w:val="16"/>
                              <w:szCs w:val="16"/>
                            </w:rPr>
                          </w:pPr>
                          <w:r w:rsidRPr="00A60F3C">
                            <w:rPr>
                              <w:rFonts w:ascii="Aptos" w:eastAsia="Aptos" w:hAnsi="Aptos" w:cs="Aptos"/>
                              <w:noProof/>
                              <w:color w:val="000000"/>
                              <w:sz w:val="16"/>
                              <w:szCs w:val="16"/>
                            </w:rPr>
                            <w:t>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B83D062" id="_x0000_t202" coordsize="21600,21600" o:spt="202" path="m,l,21600r21600,l21600,xe">
              <v:stroke joinstyle="miter"/>
              <v:path gradientshapeok="t" o:connecttype="rect"/>
            </v:shapetype>
            <v:shape id="Text Box 1" o:spid="_x0000_s1028" type="#_x0000_t202" alt="Public" style="position:absolute;margin-left:-9.4pt;margin-top:0;width:41.8pt;height:24.7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" filled="f" stroked="f">
              <v:fill o:detectmouseclick="t"/>
              <v:textbox style="mso-fit-shape-to-text:t" inset="0,15pt,20pt,0">
                <w:txbxContent>
                  <w:p w14:paraId="543ADA1C" w14:textId="70CE4520" w:rsidR="00A60F3C" w:rsidRPr="00A60F3C" w:rsidRDefault="00A60F3C" w:rsidP="00A60F3C">
                    <w:pPr>
                      <w:rPr>
                        <w:rFonts w:ascii="Aptos" w:eastAsia="Aptos" w:hAnsi="Aptos" w:cs="Aptos"/>
                        <w:noProof/>
                        <w:color w:val="000000"/>
                        <w:sz w:val="16"/>
                        <w:szCs w:val="16"/>
                      </w:rPr>
                    </w:pPr>
                    <w:r w:rsidRPr="00A60F3C">
                      <w:rPr>
                        <w:rFonts w:ascii="Aptos" w:eastAsia="Aptos" w:hAnsi="Aptos" w:cs="Aptos"/>
                        <w:noProof/>
                        <w:color w:val="000000"/>
                        <w:sz w:val="16"/>
                        <w:szCs w:val="16"/>
                      </w:rPr>
                      <w:t>Public</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2A9E" w14:textId="0C97F3E3" w:rsidR="00C46FB6" w:rsidRDefault="00A60F3C">
    <w:pPr>
      <w:pBdr>
        <w:bottom w:val="single" w:sz="4" w:space="4" w:color="B8860B"/>
      </w:pBdr>
      <w:jc w:val="right"/>
    </w:pPr>
    <w:r>
      <w:rPr>
        <w:b/>
        <w:bCs/>
        <w:noProof/>
        <w:color w:val="B8860B"/>
        <w:sz w:val="16"/>
        <w:szCs w:val="16"/>
      </w:rPr>
      <mc:AlternateContent>
        <mc:Choice Requires="wps">
          <w:drawing>
            <wp:anchor distT="0" distB="0" distL="0" distR="0" simplePos="0" relativeHeight="251661312" behindDoc="0" locked="0" layoutInCell="1" allowOverlap="1" wp14:anchorId="3C73FA98" wp14:editId="6438481B">
              <wp:simplePos x="685800" y="447675"/>
              <wp:positionH relativeFrom="page">
                <wp:align>right</wp:align>
              </wp:positionH>
              <wp:positionV relativeFrom="page">
                <wp:align>top</wp:align>
              </wp:positionV>
              <wp:extent cx="530860" cy="314325"/>
              <wp:effectExtent l="0" t="0" r="0" b="9525"/>
              <wp:wrapNone/>
              <wp:docPr id="1550018756" name="Text Box 4"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30860" cy="314325"/>
                      </a:xfrm>
                      <a:prstGeom prst="rect">
                        <a:avLst/>
                      </a:prstGeom>
                      <a:noFill/>
                      <a:ln>
                        <a:noFill/>
                      </a:ln>
                    </wps:spPr>
                    <wps:txbx>
                      <w:txbxContent>
                        <w:p w14:paraId="50F6528C" w14:textId="14C99D0E" w:rsidR="00A60F3C" w:rsidRPr="00A60F3C" w:rsidRDefault="00A60F3C" w:rsidP="00A60F3C">
                          <w:pPr>
                            <w:rPr>
                              <w:rFonts w:ascii="Aptos" w:eastAsia="Aptos" w:hAnsi="Aptos" w:cs="Aptos"/>
                              <w:noProof/>
                              <w:color w:val="000000"/>
                              <w:sz w:val="16"/>
                              <w:szCs w:val="16"/>
                            </w:rPr>
                          </w:pPr>
                          <w:r w:rsidRPr="00A60F3C">
                            <w:rPr>
                              <w:rFonts w:ascii="Aptos" w:eastAsia="Aptos" w:hAnsi="Aptos" w:cs="Aptos"/>
                              <w:noProof/>
                              <w:color w:val="000000"/>
                              <w:sz w:val="16"/>
                              <w:szCs w:val="16"/>
                            </w:rPr>
                            <w:t>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C73FA98" id="_x0000_t202" coordsize="21600,21600" o:spt="202" path="m,l,21600r21600,l21600,xe">
              <v:stroke joinstyle="miter"/>
              <v:path gradientshapeok="t" o:connecttype="rect"/>
            </v:shapetype>
            <v:shape id="Text Box 4" o:spid="_x0000_s1029" type="#_x0000_t202" alt="Public" style="position:absolute;left:0;text-align:left;margin-left:-9.4pt;margin-top:0;width:41.8pt;height:24.75pt;z-index:25166131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" filled="f" stroked="f">
              <v:fill o:detectmouseclick="t"/>
              <v:textbox style="mso-fit-shape-to-text:t" inset="0,15pt,20pt,0">
                <w:txbxContent>
                  <w:p w14:paraId="50F6528C" w14:textId="14C99D0E" w:rsidR="00A60F3C" w:rsidRPr="00A60F3C" w:rsidRDefault="00A60F3C" w:rsidP="00A60F3C">
                    <w:pPr>
                      <w:rPr>
                        <w:rFonts w:ascii="Aptos" w:eastAsia="Aptos" w:hAnsi="Aptos" w:cs="Aptos"/>
                        <w:noProof/>
                        <w:color w:val="000000"/>
                        <w:sz w:val="16"/>
                        <w:szCs w:val="16"/>
                      </w:rPr>
                    </w:pPr>
                    <w:r w:rsidRPr="00A60F3C">
                      <w:rPr>
                        <w:rFonts w:ascii="Aptos" w:eastAsia="Aptos" w:hAnsi="Aptos" w:cs="Aptos"/>
                        <w:noProof/>
                        <w:color w:val="000000"/>
                        <w:sz w:val="16"/>
                        <w:szCs w:val="16"/>
                      </w:rPr>
                      <w:t>Public</w:t>
                    </w:r>
                  </w:p>
                </w:txbxContent>
              </v:textbox>
              <w10:wrap anchorx="page" anchory="page"/>
            </v:shape>
          </w:pict>
        </mc:Fallback>
      </mc:AlternateContent>
    </w:r>
    <w:r w:rsidR="00000000">
      <w:rPr>
        <w:b/>
        <w:bCs/>
        <w:color w:val="B8860B"/>
        <w:sz w:val="16"/>
        <w:szCs w:val="16"/>
      </w:rPr>
      <w:t>SERVICE BROCHURE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D5345"/>
    <w:multiLevelType w:val="hybridMultilevel"/>
    <w:tmpl w:val="A6DE31D8"/>
    <w:lvl w:ilvl="0" w:tplc="A3E6170A">
      <w:start w:val="1"/>
      <w:numFmt w:val="bullet"/>
      <w:lvlText w:val="•"/>
      <w:lvlJc w:val="left"/>
      <w:pPr>
        <w:ind w:left="504" w:hanging="288"/>
      </w:pPr>
    </w:lvl>
    <w:lvl w:ilvl="1" w:tplc="3954D85E">
      <w:numFmt w:val="decimal"/>
      <w:lvlText w:val=""/>
      <w:lvlJc w:val="left"/>
    </w:lvl>
    <w:lvl w:ilvl="2" w:tplc="0880862C">
      <w:numFmt w:val="decimal"/>
      <w:lvlText w:val=""/>
      <w:lvlJc w:val="left"/>
    </w:lvl>
    <w:lvl w:ilvl="3" w:tplc="DDBC0FA4">
      <w:numFmt w:val="decimal"/>
      <w:lvlText w:val=""/>
      <w:lvlJc w:val="left"/>
    </w:lvl>
    <w:lvl w:ilvl="4" w:tplc="645EEAFE">
      <w:numFmt w:val="decimal"/>
      <w:lvlText w:val=""/>
      <w:lvlJc w:val="left"/>
    </w:lvl>
    <w:lvl w:ilvl="5" w:tplc="D83ACAEC">
      <w:numFmt w:val="decimal"/>
      <w:lvlText w:val=""/>
      <w:lvlJc w:val="left"/>
    </w:lvl>
    <w:lvl w:ilvl="6" w:tplc="50EE3492">
      <w:numFmt w:val="decimal"/>
      <w:lvlText w:val=""/>
      <w:lvlJc w:val="left"/>
    </w:lvl>
    <w:lvl w:ilvl="7" w:tplc="32F43916">
      <w:numFmt w:val="decimal"/>
      <w:lvlText w:val=""/>
      <w:lvlJc w:val="left"/>
    </w:lvl>
    <w:lvl w:ilvl="8" w:tplc="81E00B32">
      <w:numFmt w:val="decimal"/>
      <w:lvlText w:val=""/>
      <w:lvlJc w:val="left"/>
    </w:lvl>
  </w:abstractNum>
  <w:abstractNum w:abstractNumId="1" w15:restartNumberingAfterBreak="0">
    <w:nsid w:val="7C621B33"/>
    <w:multiLevelType w:val="hybridMultilevel"/>
    <w:tmpl w:val="4768EEDC"/>
    <w:lvl w:ilvl="0" w:tplc="002AA652">
      <w:start w:val="1"/>
      <w:numFmt w:val="bullet"/>
      <w:lvlText w:val="●"/>
      <w:lvlJc w:val="left"/>
      <w:pPr>
        <w:ind w:left="720" w:hanging="360"/>
      </w:pPr>
    </w:lvl>
    <w:lvl w:ilvl="1" w:tplc="1264DA32">
      <w:start w:val="1"/>
      <w:numFmt w:val="bullet"/>
      <w:lvlText w:val="○"/>
      <w:lvlJc w:val="left"/>
      <w:pPr>
        <w:ind w:left="1440" w:hanging="360"/>
      </w:pPr>
    </w:lvl>
    <w:lvl w:ilvl="2" w:tplc="3A3C7A32">
      <w:start w:val="1"/>
      <w:numFmt w:val="bullet"/>
      <w:lvlText w:val="■"/>
      <w:lvlJc w:val="left"/>
      <w:pPr>
        <w:ind w:left="2160" w:hanging="360"/>
      </w:pPr>
    </w:lvl>
    <w:lvl w:ilvl="3" w:tplc="57EA05AA">
      <w:start w:val="1"/>
      <w:numFmt w:val="bullet"/>
      <w:lvlText w:val="●"/>
      <w:lvlJc w:val="left"/>
      <w:pPr>
        <w:ind w:left="2880" w:hanging="360"/>
      </w:pPr>
    </w:lvl>
    <w:lvl w:ilvl="4" w:tplc="ABE4C436">
      <w:start w:val="1"/>
      <w:numFmt w:val="bullet"/>
      <w:lvlText w:val="○"/>
      <w:lvlJc w:val="left"/>
      <w:pPr>
        <w:ind w:left="3600" w:hanging="360"/>
      </w:pPr>
    </w:lvl>
    <w:lvl w:ilvl="5" w:tplc="DB70FFBA">
      <w:start w:val="1"/>
      <w:numFmt w:val="bullet"/>
      <w:lvlText w:val="■"/>
      <w:lvlJc w:val="left"/>
      <w:pPr>
        <w:ind w:left="4320" w:hanging="360"/>
      </w:pPr>
    </w:lvl>
    <w:lvl w:ilvl="6" w:tplc="4FC25598">
      <w:start w:val="1"/>
      <w:numFmt w:val="bullet"/>
      <w:lvlText w:val="●"/>
      <w:lvlJc w:val="left"/>
      <w:pPr>
        <w:ind w:left="5040" w:hanging="360"/>
      </w:pPr>
    </w:lvl>
    <w:lvl w:ilvl="7" w:tplc="09A66C4A">
      <w:start w:val="1"/>
      <w:numFmt w:val="bullet"/>
      <w:lvlText w:val="●"/>
      <w:lvlJc w:val="left"/>
      <w:pPr>
        <w:ind w:left="5760" w:hanging="360"/>
      </w:pPr>
    </w:lvl>
    <w:lvl w:ilvl="8" w:tplc="D4C64862">
      <w:start w:val="1"/>
      <w:numFmt w:val="bullet"/>
      <w:lvlText w:val="●"/>
      <w:lvlJc w:val="left"/>
      <w:pPr>
        <w:ind w:left="6480" w:hanging="360"/>
      </w:pPr>
    </w:lvl>
  </w:abstractNum>
  <w:num w:numId="1" w16cid:durableId="321548039">
    <w:abstractNumId w:val="1"/>
    <w:lvlOverride w:ilvl="0">
      <w:startOverride w:val="1"/>
    </w:lvlOverride>
  </w:num>
  <w:num w:numId="2" w16cid:durableId="9838493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FB6"/>
    <w:rsid w:val="00A60F3C"/>
    <w:rsid w:val="00C46FB6"/>
    <w:rsid w:val="00F303A2"/>
    <w:rsid w:val="00F447D4"/>
    <w:rsid w:val="00F505B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3213B"/>
  <w15:docId w15:val="{8679A90C-A2EF-4D3B-ABA7-30C15FD1F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0F3C"/>
    <w:pPr>
      <w:tabs>
        <w:tab w:val="center" w:pos="4513"/>
        <w:tab w:val="right" w:pos="9026"/>
      </w:tabs>
    </w:pPr>
  </w:style>
  <w:style w:type="character" w:customStyle="1" w:styleId="HeaderChar">
    <w:name w:val="Header Char"/>
    <w:basedOn w:val="DefaultParagraphFont"/>
    <w:link w:val="Header"/>
    <w:uiPriority w:val="99"/>
    <w:rsid w:val="00A60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3775161-ea02-47e8-a09e-66f107fe150d}" enabled="1" method="Privileged" siteId="{b80c30a3-e525-444f-9b9a-637c30402fe4}" contentBits="1" removed="0"/>
</clbl:labelList>
</file>

<file path=docProps/app.xml><?xml version="1.0" encoding="utf-8"?>
<Properties xmlns="http://schemas.openxmlformats.org/officeDocument/2006/extended-properties" xmlns:vt="http://schemas.openxmlformats.org/officeDocument/2006/docPropsVTypes">
  <Template>Normal</Template>
  <TotalTime>20</TotalTime>
  <Pages>6</Pages>
  <Words>2277</Words>
  <Characters>12980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Zohaib</cp:lastModifiedBy>
  <cp:revision>2</cp:revision>
  <dcterms:created xsi:type="dcterms:W3CDTF">2026-08-26T16:19:00Z</dcterms:created>
  <dcterms:modified xsi:type="dcterms:W3CDTF">2026-08-26T16:44:00Z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42cf2fb5,5bb24868,5562df25,5c6368c4</vt:lpwstr>
  </property>
  <property fmtid="{D5CDD505-2E9C-101B-9397-08002B2CF9AE}" pid="3" name="ClassificationContentMarkingHeaderFontProps">
    <vt:lpwstr>#000000,8,Aptos</vt:lpwstr>
  </property>
  <property fmtid="{D5CDD505-2E9C-101B-9397-08002B2CF9AE}" pid="4" name="ClassificationContentMarkingHeaderText">
    <vt:lpwstr>Public</vt:lpwstr>
  </property>
</Properties>
</file>