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Adaptation under Constraint: A Synthesis of Future Consciousness, Digital Bricolage, Algorithmic Legitimacy, and AI-Augmented Entrepreneurial Cognition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global economy is characterized by high volatility, rapid technological transformations, systemic resource constraints, and profound institutional differences. In this environment, traditional corporate planning models that assume predictability are often insufficient for ensuring survival or fostering innovation.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modern organizational resilience depends on a sophisticated toolkit of cognitive and tactical adaptations.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synthesizes contemporary research from 2021 to 2026 to evaluate how modern enterprises build and maintain strategic viability under constraint. By integrating the cognitive framework of future consciousness, the localized resourcefulness of digital and entrepreneurial bricolage, the regulatory and sociopolitical demands of algorithmic legitimacy, and the cognitive reconfigurations initiated by generative artificial intelligence (GenAI), this analysis presents an integrated, expert-level conceptual model of adaptive organizational agency.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Temporality, Foresight, and the Epistemology of Future Consciousness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Architecture of Future Consciousness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core of strategic adaptation is temporal cognition, specifically future consciousness—defined as the complex human capacity to understand, anticipate, prepare for, and embrace the future.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a static, one-dimensional trait, individual future consciousness is a multifaceted psychological construct. It is quantitatively measured using the Futures Consciousness scale, which has been validated across diverse demographic groups, including adolescent cohorts aged 11 to 18.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cognitive framework is composed of five core dimensions: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Time Perspective:</w:t>
      </w:r>
      <w:r w:rsidDel="00000000" w:rsidR="00000000" w:rsidRPr="00000000">
        <w:rPr>
          <w:rFonts w:ascii="Google Sans" w:cs="Google Sans" w:eastAsia="Google Sans" w:hAnsi="Google Sans"/>
          <w:color w:val="1f1f1f"/>
          <w:rtl w:val="0"/>
        </w:rPr>
        <w:t xml:space="preserve"> The temporal focus and depth through which an individual assesses past experiences, present realities, and future states.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Agency Beliefs:</w:t>
      </w:r>
      <w:r w:rsidDel="00000000" w:rsidR="00000000" w:rsidRPr="00000000">
        <w:rPr>
          <w:rFonts w:ascii="Google Sans" w:cs="Google Sans" w:eastAsia="Google Sans" w:hAnsi="Google Sans"/>
          <w:color w:val="1f1f1f"/>
          <w:rtl w:val="0"/>
        </w:rPr>
        <w:t xml:space="preserve"> The degree to which individuals believe their purposeful actions can influence future trajectories, reinforcing personal and collective self-efficacy.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Openness to Alternatives:</w:t>
      </w:r>
      <w:r w:rsidDel="00000000" w:rsidR="00000000" w:rsidRPr="00000000">
        <w:rPr>
          <w:rFonts w:ascii="Google Sans" w:cs="Google Sans" w:eastAsia="Google Sans" w:hAnsi="Google Sans"/>
          <w:color w:val="1f1f1f"/>
          <w:rtl w:val="0"/>
        </w:rPr>
        <w:t xml:space="preserve"> The cognitive flexibility to imagine, tolerate, and evaluate diverse, non-linear trajectories of change.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Systems Perception:</w:t>
      </w:r>
      <w:r w:rsidDel="00000000" w:rsidR="00000000" w:rsidRPr="00000000">
        <w:rPr>
          <w:rFonts w:ascii="Google Sans" w:cs="Google Sans" w:eastAsia="Google Sans" w:hAnsi="Google Sans"/>
          <w:color w:val="1f1f1f"/>
          <w:rtl w:val="0"/>
        </w:rPr>
        <w:t xml:space="preserve"> The capacity to comprehend complex, non-linear feedback loops, interdependencies, and systemic relationships in the surrounding environment.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Concern for Others:</w:t>
      </w:r>
      <w:r w:rsidDel="00000000" w:rsidR="00000000" w:rsidRPr="00000000">
        <w:rPr>
          <w:rFonts w:ascii="Google Sans" w:cs="Google Sans" w:eastAsia="Google Sans" w:hAnsi="Google Sans"/>
          <w:color w:val="1f1f1f"/>
          <w:rtl w:val="0"/>
        </w:rPr>
        <w:t xml:space="preserve"> The ethical orientation that aligns strategic planning with the long-term well-being of the broader community and future generations.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dimensions function as a cognitive feedforward loop, allowing individuals to mentally simulate alternative states and align present-day actions accordingly.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systemic crises, such as the COVID-19 pandemic, heightened future consciousness acts as a psychological buffer, protecting individual and collective agency under severe stress.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high-stakes ecological settings (e.g., protected area management under climate change), the tension between historical conservation values and highly uncertain future scenarios requires managers to employ future consciousness to justify long-term adaptation paths.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Futures Literacy and Strategic Foresight Frames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future consciousness represents a fundamental psychological capacity, futures literacy is the practical skill to reflexively "use the future" to perceive opportunities and design resilient strategies.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Developing futures literacy is not common sense; it is a systematic discipline designed to overcome cognitive biases, challenge historical metaphors, and manage systemic unpredictability.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sense of how actors operate within uncertain environments, strategic foresight can be categorized into six distinct "foresight frames" defined by their levels of perceived unpredictability and desired change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Predictive Frame:</w:t>
      </w:r>
      <w:r w:rsidDel="00000000" w:rsidR="00000000" w:rsidRPr="00000000">
        <w:rPr>
          <w:rFonts w:ascii="Google Sans" w:cs="Google Sans" w:eastAsia="Google Sans" w:hAnsi="Google Sans"/>
          <w:color w:val="1f1f1f"/>
          <w:rtl w:val="0"/>
        </w:rPr>
        <w:t xml:space="preserve"> Assumes a predictable environment, focusing on trend projection and baseline forecasting.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Planning Frame:</w:t>
      </w:r>
      <w:r w:rsidDel="00000000" w:rsidR="00000000" w:rsidRPr="00000000">
        <w:rPr>
          <w:rFonts w:ascii="Google Sans" w:cs="Google Sans" w:eastAsia="Google Sans" w:hAnsi="Google Sans"/>
          <w:color w:val="1f1f1f"/>
          <w:rtl w:val="0"/>
        </w:rPr>
        <w:t xml:space="preserve"> Emphasizes operational execution, optimization, and goal setting under low-to-moderate uncertainty.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Scenaric Frame:</w:t>
      </w:r>
      <w:r w:rsidDel="00000000" w:rsidR="00000000" w:rsidRPr="00000000">
        <w:rPr>
          <w:rFonts w:ascii="Google Sans" w:cs="Google Sans" w:eastAsia="Google Sans" w:hAnsi="Google Sans"/>
          <w:color w:val="1f1f1f"/>
          <w:rtl w:val="0"/>
        </w:rPr>
        <w:t xml:space="preserve"> Acknowledges deep uncertainty, constructing multiple alternative scenarios to test critical assumptions.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Visionary Frame:</w:t>
      </w:r>
      <w:r w:rsidDel="00000000" w:rsidR="00000000" w:rsidRPr="00000000">
        <w:rPr>
          <w:rFonts w:ascii="Google Sans" w:cs="Google Sans" w:eastAsia="Google Sans" w:hAnsi="Google Sans"/>
          <w:color w:val="1f1f1f"/>
          <w:rtl w:val="0"/>
        </w:rPr>
        <w:t xml:space="preserve"> Focuses on defining and striving toward a highly desired, normative future state.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Critical Frame:</w:t>
      </w:r>
      <w:r w:rsidDel="00000000" w:rsidR="00000000" w:rsidRPr="00000000">
        <w:rPr>
          <w:rFonts w:ascii="Google Sans" w:cs="Google Sans" w:eastAsia="Google Sans" w:hAnsi="Google Sans"/>
          <w:color w:val="1f1f1f"/>
          <w:rtl w:val="0"/>
        </w:rPr>
        <w:t xml:space="preserve"> Deconstructs the underlying assumptions, power dynamics, and historical metaphors that shape popular images of the future.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Transformative Frame:</w:t>
      </w:r>
      <w:r w:rsidDel="00000000" w:rsidR="00000000" w:rsidRPr="00000000">
        <w:rPr>
          <w:rFonts w:ascii="Google Sans" w:cs="Google Sans" w:eastAsia="Google Sans" w:hAnsi="Google Sans"/>
          <w:color w:val="1f1f1f"/>
          <w:rtl w:val="0"/>
        </w:rPr>
        <w:t xml:space="preserve"> Actively experiments with novel, systems-level interventions to catalyze deep structural transitions.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initiatives like the </w:t>
      </w:r>
      <w:r w:rsidDel="00000000" w:rsidR="00000000" w:rsidRPr="00000000">
        <w:rPr>
          <w:rFonts w:ascii="Google Sans" w:cs="Google Sans" w:eastAsia="Google Sans" w:hAnsi="Google Sans"/>
          <w:i w:val="1"/>
          <w:iCs w:val="1"/>
          <w:color w:val="1f1f1f"/>
          <w:rtl w:val="0"/>
        </w:rPr>
        <w:t xml:space="preserve">Seeds of Good Anthropocenes</w:t>
      </w:r>
      <w:r w:rsidDel="00000000" w:rsidR="00000000" w:rsidRPr="00000000">
        <w:rPr>
          <w:rFonts w:ascii="Google Sans" w:cs="Google Sans" w:eastAsia="Google Sans" w:hAnsi="Google Sans"/>
          <w:color w:val="1f1f1f"/>
          <w:rtl w:val="0"/>
        </w:rPr>
        <w:t xml:space="preserve"> (SoGA) experiment with transformative foresight to support policy design and foster collaborative, participatory decision-making.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small and medium-sized enterprises (SMEs), implementing open, collaborative foresight frameworks supports the reconfiguration of operations and renewal of culture under uncertainty, bypassing the limitations of short-term, predictive operational planning.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Unlearning and Systems Models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these foresight capabilities, organizations must engage in continuous learning, unlearning, and relearning.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cycle can be conceptualized through the "bonsai thinking" framework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Pruning for Unlearning:</w:t>
      </w:r>
      <w:r w:rsidDel="00000000" w:rsidR="00000000" w:rsidRPr="00000000">
        <w:rPr>
          <w:rFonts w:ascii="Google Sans" w:cs="Google Sans" w:eastAsia="Google Sans" w:hAnsi="Google Sans"/>
          <w:color w:val="1f1f1f"/>
          <w:rtl w:val="0"/>
        </w:rPr>
        <w:t xml:space="preserve"> Deliberately discarding outdated mental models, obsolete strategic routines, and legacy assumptions.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Wiring and Positioning for Relearning:</w:t>
      </w:r>
      <w:r w:rsidDel="00000000" w:rsidR="00000000" w:rsidRPr="00000000">
        <w:rPr>
          <w:rFonts w:ascii="Google Sans" w:cs="Google Sans" w:eastAsia="Google Sans" w:hAnsi="Google Sans"/>
          <w:color w:val="1f1f1f"/>
          <w:rtl w:val="0"/>
        </w:rPr>
        <w:t xml:space="preserve"> Structuring the organization's cognitive pathways to absorb new knowledge.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Watering and Fertilizing for Learning:</w:t>
      </w:r>
      <w:r w:rsidDel="00000000" w:rsidR="00000000" w:rsidRPr="00000000">
        <w:rPr>
          <w:rFonts w:ascii="Google Sans" w:cs="Google Sans" w:eastAsia="Google Sans" w:hAnsi="Google Sans"/>
          <w:color w:val="1f1f1f"/>
          <w:rtl w:val="0"/>
        </w:rPr>
        <w:t xml:space="preserve"> Actively nurturing and sustaining novel insights.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cycle is grounded in the </w:t>
      </w:r>
      <w:r w:rsidDel="00000000" w:rsidR="00000000" w:rsidRPr="00000000">
        <w:rPr>
          <w:rFonts w:ascii="Google Sans" w:cs="Google Sans" w:eastAsia="Google Sans" w:hAnsi="Google Sans"/>
          <w:i w:val="1"/>
          <w:iCs w:val="1"/>
          <w:color w:val="1f1f1f"/>
          <w:rtl w:val="0"/>
        </w:rPr>
        <w:t xml:space="preserve">Trilogy of Mind</w:t>
      </w:r>
      <w:r w:rsidDel="00000000" w:rsidR="00000000" w:rsidRPr="00000000">
        <w:rPr>
          <w:rFonts w:ascii="Google Sans" w:cs="Google Sans" w:eastAsia="Google Sans" w:hAnsi="Google Sans"/>
          <w:color w:val="1f1f1f"/>
          <w:rtl w:val="0"/>
        </w:rPr>
        <w:t xml:space="preserve"> (integrating cognition, affection, and conation) and the </w:t>
      </w:r>
      <w:r w:rsidDel="00000000" w:rsidR="00000000" w:rsidRPr="00000000">
        <w:rPr>
          <w:rFonts w:ascii="Google Sans" w:cs="Google Sans" w:eastAsia="Google Sans" w:hAnsi="Google Sans"/>
          <w:i w:val="1"/>
          <w:iCs w:val="1"/>
          <w:color w:val="1f1f1f"/>
          <w:rtl w:val="0"/>
        </w:rPr>
        <w:t xml:space="preserve">Trilogy of Education</w:t>
      </w:r>
      <w:r w:rsidDel="00000000" w:rsidR="00000000" w:rsidRPr="00000000">
        <w:rPr>
          <w:rFonts w:ascii="Google Sans" w:cs="Google Sans" w:eastAsia="Google Sans" w:hAnsi="Google Sans"/>
          <w:color w:val="1f1f1f"/>
          <w:rtl w:val="0"/>
        </w:rPr>
        <w:t xml:space="preserve"> (neuroscience, happiness studies, and future studies).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 broader level, these cognitive shifts can be integrated into the </w:t>
      </w:r>
      <w:r w:rsidDel="00000000" w:rsidR="00000000" w:rsidRPr="00000000">
        <w:rPr>
          <w:rFonts w:ascii="Google Sans" w:cs="Google Sans" w:eastAsia="Google Sans" w:hAnsi="Google Sans"/>
          <w:i w:val="1"/>
          <w:iCs w:val="1"/>
          <w:color w:val="1f1f1f"/>
          <w:rtl w:val="0"/>
        </w:rPr>
        <w:t xml:space="preserve">Hourglass Model</w:t>
      </w:r>
      <w:r w:rsidDel="00000000" w:rsidR="00000000" w:rsidRPr="00000000">
        <w:rPr>
          <w:rFonts w:ascii="Google Sans" w:cs="Google Sans" w:eastAsia="Google Sans" w:hAnsi="Google Sans"/>
          <w:color w:val="1f1f1f"/>
          <w:rtl w:val="0"/>
        </w:rPr>
        <w:t xml:space="preserve"> of systems health.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model assumes that planetary health is the ultimate determinant of organizational and social viability.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requires that human and artificial intelligence work together to transform raw environmental data into actionable mental models, aligning corporate strategies with political, moral, social, and environmental realities.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Strategic Foresight, Future Consciousness, and Organizational Learning Frameworks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Conceptual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Elements / Dimensions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Future Consciousness Model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Perspective; Agency Beliefs; Openness to Alternatives; Systems Perception; Concern for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Cognitive feedback and feedforward loops that shape individual temporal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individual psychological resilience and long-term ethical alignment under deep uncertainty.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Foresight Frames Typology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Predictive; Planning; Scenaric; Visionary; Critical; Transformative.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Categorization based on perceived environmental unpredictability and desired strategic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Transition from static planning toward systemic, collaborative, and transformative adaptation.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Bonsai Thinking Framework</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Pruning (unlearning); Wiring and Positioning (relearning); Watering and Fertilizing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Cyclical cognitive reconfiguration integrating the Trilogy of Mind (cognition, affection, conation).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Foster continuous, organic organizational development and eliminate cognitive path-dependencies.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Foresight Hourglass Model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Planetary Health; Social/Political Determinants; Data Transformation; Mental Model Re-alignment.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of human and artificial intelligence to transform multi-scale data into new perspectives.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Achieve long-term, cross-sector collective impact aligned with planetary and social health.</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Resource Orchestration and the Contingency of Bricolage in Severe Scarcity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Anthropological Roots and Entrepreneurial Recombination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operating in resource-poor environments, standard strategic models that emphasize the acquisition of rare, valuable, inimitable, and non-substitutable (VRIN) assets are often structurally unviable.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resource-constrained firms survive and innovate by practicing bricolage—a concept from French anthropologist Claude Lévi-Strauss (1966) defined as "making do" by recombining whatever resources are at hand to solve novel problems and exploit emerging opportunities.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resource logic is characterized by a strong bias for action, the creative repurposing of existing materials, and a strict refusal to let material limitations stall progress.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Bricolage and the Digital Bricolage Trap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emerging markets and low-resource communities, digital transformation rarely follows a structured, well-funded corporate roadmap. Instead, microenterprises engage in digital bricolage, customizing and combining readily available, low-cost, and familiar digital applications (e.g., social messaging apps, basic mobile payment systems, and free cloud tools) to construct functional digital solutions from nothing.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empirical study supported by the International Telecommunications Union's Connect2Recover research initiative, involving 69 in-depth qualitative interviews in Ghana, identifies three distinct digitalization pathways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Parallel Bricolage:</w:t>
      </w:r>
      <w:r w:rsidDel="00000000" w:rsidR="00000000" w:rsidRPr="00000000">
        <w:rPr>
          <w:rFonts w:ascii="Google Sans" w:cs="Google Sans" w:eastAsia="Google Sans" w:hAnsi="Google Sans"/>
          <w:color w:val="1f1f1f"/>
          <w:rtl w:val="0"/>
        </w:rPr>
        <w:t xml:space="preserve"> The ad-hoc, unstructured use of disjointed digital tools for immediate operational needs, relying heavily on free consumer-use software.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Selective Bricolage:</w:t>
      </w:r>
      <w:r w:rsidDel="00000000" w:rsidR="00000000" w:rsidRPr="00000000">
        <w:rPr>
          <w:rFonts w:ascii="Google Sans" w:cs="Google Sans" w:eastAsia="Google Sans" w:hAnsi="Google Sans"/>
          <w:color w:val="1f1f1f"/>
          <w:rtl w:val="0"/>
        </w:rPr>
        <w:t xml:space="preserve"> The deliberate, iterative recombination of specific digital assets to solve distinct business limitations, focusing on customizing affordable and modular technologies.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Digital Planning:</w:t>
      </w:r>
      <w:r w:rsidDel="00000000" w:rsidR="00000000" w:rsidRPr="00000000">
        <w:rPr>
          <w:rFonts w:ascii="Google Sans" w:cs="Google Sans" w:eastAsia="Google Sans" w:hAnsi="Google Sans"/>
          <w:color w:val="1f1f1f"/>
          <w:rtl w:val="0"/>
        </w:rPr>
        <w:t xml:space="preserve"> A structured, top-down deployment of integrated, professional digital infrastructure, requiring significant formal investment and external expertise.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Although digital bricolage provides microenterprises with crucial short-term survival capabilities, adaptive flexibility, and low-cost innovativeness, overreliance on this strategy exposes ventures to a structural hazard known as the </w:t>
      </w:r>
      <w:r w:rsidDel="00000000" w:rsidR="00000000" w:rsidRPr="00000000">
        <w:rPr>
          <w:rFonts w:ascii="Google Sans" w:cs="Google Sans" w:eastAsia="Google Sans" w:hAnsi="Google Sans"/>
          <w:b w:val="1"/>
          <w:bCs w:val="1"/>
          <w:color w:val="1f1f1f"/>
          <w:rtl w:val="0"/>
        </w:rPr>
        <w:t xml:space="preserve">digital bricolage trap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Over time, the accumulation of localized, ad-hoc workarounds and fragmented software integrations results in severe compatibility issues, limited functionality, and significant security vulnerabilities.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because these makeshift digital structures are highly customized to the personal competencies of the founder, they are difficult to standardize, scale, or delegate, ultimately locking the enterprise into a low-capability, fragmented digital state that impedes long-term value creation.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escape this trap, some social and frugal entrepreneurs employ Digital Resource Leverage (DRL).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Grounded in a sociomateriality framework, DRL reframes the logic of the Resource-Based View (RBV) from asset </w:t>
      </w:r>
      <w:r w:rsidDel="00000000" w:rsidR="00000000" w:rsidRPr="00000000">
        <w:rPr>
          <w:rFonts w:ascii="Google Sans" w:cs="Google Sans" w:eastAsia="Google Sans" w:hAnsi="Google Sans"/>
          <w:i w:val="1"/>
          <w:iCs w:val="1"/>
          <w:color w:val="1f1f1f"/>
          <w:rtl w:val="0"/>
        </w:rPr>
        <w:t xml:space="preserve">ownership</w:t>
      </w:r>
      <w:r w:rsidDel="00000000" w:rsidR="00000000" w:rsidRPr="00000000">
        <w:rPr>
          <w:rFonts w:ascii="Google Sans" w:cs="Google Sans" w:eastAsia="Google Sans" w:hAnsi="Google Sans"/>
          <w:color w:val="1f1f1f"/>
          <w:rtl w:val="0"/>
        </w:rPr>
        <w:t xml:space="preserve"> to ecosystem </w:t>
      </w:r>
      <w:r w:rsidDel="00000000" w:rsidR="00000000" w:rsidRPr="00000000">
        <w:rPr>
          <w:rFonts w:ascii="Google Sans" w:cs="Google Sans" w:eastAsia="Google Sans" w:hAnsi="Google Sans"/>
          <w:i w:val="1"/>
          <w:iCs w:val="1"/>
          <w:color w:val="1f1f1f"/>
          <w:rtl w:val="0"/>
        </w:rPr>
        <w:t xml:space="preserve">orchestration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mobilizing open-source databases, no-code development platforms, and collaborative digital networks, resource-constrained firms can bypass the heavy capital expenditures of traditional IT infrastructure and build scalable, secure, and socially inclusive business models.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is supported by empirical evidence showing that digital marketers who maintain higher levels of interaction between human agency and technology create greater long-term strategic value for their firms.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Moderating Role of Decision Logics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entrepreneurial bricolage is highly contingent upon the firm's broader decision-making logic.</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Empirical analysis utilizing time-lagged survey data from 236 entrepreneurs confirms that while bricolage relates positively to venture performance, this relationship is moderated by digital entrepreneurship.</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Specifically, digital entrepreneurship significantly strengthens the bricolage-performance relationship when the </w:t>
      </w:r>
      <w:r w:rsidDel="00000000" w:rsidR="00000000" w:rsidRPr="00000000">
        <w:rPr>
          <w:rFonts w:ascii="Google Sans" w:cs="Google Sans" w:eastAsia="Google Sans" w:hAnsi="Google Sans"/>
          <w:i w:val="1"/>
          <w:iCs w:val="1"/>
          <w:color w:val="1f1f1f"/>
          <w:rtl w:val="0"/>
        </w:rPr>
        <w:t xml:space="preserve">causation</w:t>
      </w:r>
      <w:r w:rsidDel="00000000" w:rsidR="00000000" w:rsidRPr="00000000">
        <w:rPr>
          <w:rFonts w:ascii="Google Sans" w:cs="Google Sans" w:eastAsia="Google Sans" w:hAnsi="Google Sans"/>
          <w:color w:val="1f1f1f"/>
          <w:rtl w:val="0"/>
        </w:rPr>
        <w:t xml:space="preserve"> approach to entrepreneurship is high, or when the </w:t>
      </w:r>
      <w:r w:rsidDel="00000000" w:rsidR="00000000" w:rsidRPr="00000000">
        <w:rPr>
          <w:rFonts w:ascii="Google Sans" w:cs="Google Sans" w:eastAsia="Google Sans" w:hAnsi="Google Sans"/>
          <w:i w:val="1"/>
          <w:iCs w:val="1"/>
          <w:color w:val="1f1f1f"/>
          <w:rtl w:val="0"/>
        </w:rPr>
        <w:t xml:space="preserve">effectuation</w:t>
      </w:r>
      <w:r w:rsidDel="00000000" w:rsidR="00000000" w:rsidRPr="00000000">
        <w:rPr>
          <w:rFonts w:ascii="Google Sans" w:cs="Google Sans" w:eastAsia="Google Sans" w:hAnsi="Google Sans"/>
          <w:color w:val="1f1f1f"/>
          <w:rtl w:val="0"/>
        </w:rPr>
        <w:t xml:space="preserve"> approach is low.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an enterprise is highly digitalized, combining a deliberate, goal-oriented causation logic with resourceful, on-the-ground bricolage allows the firm to optimize and scale its improvised solutions.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Conversely, when effectuation is already high, adding further unstructured bricolage can lead to cognitive overload and operational inefficiency, reducing overall venture performance.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Structural Adaptations within Severe Institutional Voids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Voids as Contexts for Action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emerging economies, the strategic landscape is defined by the presence of institutional voids—the absence or severe inefficiency of formal, market-facilitating institutions, such as accessible credit markets, reliable contract enforcement, transparent regulatory frameworks, and physical infrastructure.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Rather than acting as passive barriers to venture creation, institutional voids demand that entrepreneurs take on roles typically fulfilled by the state or formal intermediaries.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Startups in these contexts construct strategic "workaround practices".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ethnographic multi-case study of three technology startups in Morocco demonstrates that network-based, technological, and regulatory bricolage are not solutions of last resort, but rather dynamic competencies of resilience required to bypass environmental rigidities, long payment delays, and administrative hurdles.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an investigation of 47 commercial entrepreneurs in Kenya shows that severe institutional voids stimulate the hybridization of goals to include both social and economic value creation, create a need for a more strategic orchestration of business relationships, and motivate entrepreneurs to proactively cross-brace the fragile institutional infrastructure around them, utilizing local innovation hubs as key intermediaries.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Rule-Breaking and Feedback Loops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within severe institutional voids often requires strategic rule-breaking.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Entrepreneurial rule-breaking is driven by cognitive schemas known as </w:t>
      </w:r>
      <w:r w:rsidDel="00000000" w:rsidR="00000000" w:rsidRPr="00000000">
        <w:rPr>
          <w:rFonts w:ascii="Google Sans" w:cs="Google Sans" w:eastAsia="Google Sans" w:hAnsi="Google Sans"/>
          <w:i w:val="1"/>
          <w:iCs w:val="1"/>
          <w:color w:val="1f1f1f"/>
          <w:rtl w:val="0"/>
        </w:rPr>
        <w:t xml:space="preserve">constructive rule beliefs</w:t>
      </w:r>
      <w:r w:rsidDel="00000000" w:rsidR="00000000" w:rsidRPr="00000000">
        <w:rPr>
          <w:rFonts w:ascii="Google Sans" w:cs="Google Sans" w:eastAsia="Google Sans" w:hAnsi="Google Sans"/>
          <w:color w:val="1f1f1f"/>
          <w:rtl w:val="0"/>
        </w:rPr>
        <w:t xml:space="preserve">, which are composed of two distinct dimensions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Rule Purpose Beliefs (F2):</w:t>
      </w:r>
      <w:r w:rsidDel="00000000" w:rsidR="00000000" w:rsidRPr="00000000">
        <w:rPr>
          <w:rFonts w:ascii="Google Sans" w:cs="Google Sans" w:eastAsia="Google Sans" w:hAnsi="Google Sans"/>
          <w:color w:val="1f1f1f"/>
          <w:rtl w:val="0"/>
        </w:rPr>
        <w:t xml:space="preserve"> General beliefs regarding the core purpose, legitimacy, and social utility of formal regulations.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Rule Relativity Beliefs (F1):</w:t>
      </w:r>
      <w:r w:rsidDel="00000000" w:rsidR="00000000" w:rsidRPr="00000000">
        <w:rPr>
          <w:rFonts w:ascii="Google Sans" w:cs="Google Sans" w:eastAsia="Google Sans" w:hAnsi="Google Sans"/>
          <w:color w:val="1f1f1f"/>
          <w:rtl w:val="0"/>
        </w:rPr>
        <w:t xml:space="preserve"> The belief that formal rules are relative and context-dependent, which directly predicts goal-directed, constructive entrepreneurial rule-breaking to solve operational bottlenecks.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rule-breaking behavior is supported by cognitive learning feedback loops.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volatile, emerging economies (such as India), first-generation entrepreneurs cycle between feedback-driven </w:t>
      </w:r>
      <w:r w:rsidDel="00000000" w:rsidR="00000000" w:rsidRPr="00000000">
        <w:rPr>
          <w:rFonts w:ascii="Google Sans" w:cs="Google Sans" w:eastAsia="Google Sans" w:hAnsi="Google Sans"/>
          <w:i w:val="1"/>
          <w:iCs w:val="1"/>
          <w:color w:val="1f1f1f"/>
          <w:rtl w:val="0"/>
        </w:rPr>
        <w:t xml:space="preserve">problemistic search</w:t>
      </w:r>
      <w:r w:rsidDel="00000000" w:rsidR="00000000" w:rsidRPr="00000000">
        <w:rPr>
          <w:rFonts w:ascii="Google Sans" w:cs="Google Sans" w:eastAsia="Google Sans" w:hAnsi="Google Sans"/>
          <w:color w:val="1f1f1f"/>
          <w:rtl w:val="0"/>
        </w:rPr>
        <w:t xml:space="preserve">—which expands their cognitive and solution spaces—and </w:t>
      </w:r>
      <w:r w:rsidDel="00000000" w:rsidR="00000000" w:rsidRPr="00000000">
        <w:rPr>
          <w:rFonts w:ascii="Google Sans" w:cs="Google Sans" w:eastAsia="Google Sans" w:hAnsi="Google Sans"/>
          <w:i w:val="1"/>
          <w:iCs w:val="1"/>
          <w:color w:val="1f1f1f"/>
          <w:rtl w:val="0"/>
        </w:rPr>
        <w:t xml:space="preserve">resource recombination</w:t>
      </w:r>
      <w:r w:rsidDel="00000000" w:rsidR="00000000" w:rsidRPr="00000000">
        <w:rPr>
          <w:rFonts w:ascii="Google Sans" w:cs="Google Sans" w:eastAsia="Google Sans" w:hAnsi="Google Sans"/>
          <w:color w:val="1f1f1f"/>
          <w:rtl w:val="0"/>
        </w:rPr>
        <w:t xml:space="preserve"> (bricolage) to gradually stabilize new operational routines and locally viable knowledge.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and Power Asymmetries under Voids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relationship between entrepreneurial alertness and opportunity recognition within institutional voids is highly complex.</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Survey data from 266 entrepreneurs in Ghana demonstrates that alertness relates positively to opportunity recognition, and this relationship is moderated by institutional voids.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Notably, this moderated relationship is gender-differentiated, reflecting the distinct socio-cultural challenges faced by male and female entrepreneurs in emerging economies.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Egypt, quantitative research shows that institutional voids influence how firms leverage government R&amp;D support, which in turn mediates inter-firm cooperation under economic adversity.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some market actors actively exploit these systemic gaps.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Research indicates that dominant digital platform companies sometimes strategically create, maintain, or expand institutional voids within their platform architectures.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internally centralizing previously distributed market functions, these platforms capture disproportionate value and institutionalize problematic power inequalities under the guise of market efficiency.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distinct sectors, such as Jordanian e-commerce, entrepreneurs utilize three categories of resourceful practices: </w:t>
      </w:r>
      <w:r w:rsidDel="00000000" w:rsidR="00000000" w:rsidRPr="00000000">
        <w:rPr>
          <w:rFonts w:ascii="Google Sans" w:cs="Google Sans" w:eastAsia="Google Sans" w:hAnsi="Google Sans"/>
          <w:i w:val="1"/>
          <w:iCs w:val="1"/>
          <w:color w:val="1f1f1f"/>
          <w:rtl w:val="0"/>
        </w:rPr>
        <w:t xml:space="preserve">input bricolage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market bricolage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institutional bricolage</w:t>
      </w:r>
      <w:r w:rsidDel="00000000" w:rsidR="00000000" w:rsidRPr="00000000">
        <w:rPr>
          <w:rFonts w:ascii="Google Sans" w:cs="Google Sans" w:eastAsia="Google Sans" w:hAnsi="Google Sans"/>
          <w:color w:val="1f1f1f"/>
          <w:rtl w:val="0"/>
        </w:rPr>
        <w:t xml:space="preserve"> to drive online sales and improve performance, contributing to a market projected to reach JOD 2.5 billion.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Tactical Bricolage and Institutional Adaptability under Severe Scarcity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 Case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Sample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Workarounds /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Moroccan Tech Startups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Multi-site ethnographic study (3 startups).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Technological, network, and regulatory bricolage.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Transforming standard administrative tools (e.g., Excel) into customized software; leveraging personal networks to bypass payment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resilience; bypassing administrative rigidities and financial bottlenecks.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Kenyan Commercial Ventures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Qualitative investigation (47 entrepreneurs).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Hybridization of goals; strategic orchestration; infrastructural cross-bracing.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Mobilizing local innovation hubs as institutional intermediaries; blending commercial goals with social value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community integration; creation of localized, collaborative safety nets.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Ghanaian Alertness Study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Survey data (266 entrepreneurs).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Alertness-driven opportunity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Capitalizing on localized information asymmetries and institutional gaps, moderated by gendered barriers.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Successful opportunity identification; gender-differentiated market 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Jordanian E-Commerce Sector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Sector-level quantitative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Multi-dimensional bricolage (Input, Market, Institutional).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Recombining local delivery services, informal payment methods, and social media platforms to execute transactions.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operational efficiency; capturing share in a JOD 2.5 billion online market.</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Three-Way Moderation of Disruptive Innovation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Entrepreneurial bricolage acts as a critical mechanism for driving disruptive innovation within resource-constrained SMEs.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this relationship is highly contingent upon internal learning behaviors and external institutional structures.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data from two waves of a survey involving 269 Chinese SMEs, research validates a three-way interaction model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01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1601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mathematical model, failure-based learning behaviors act as a cognitive amplifier.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an organization actively analyzes and integrates lessons from operational failures, its ability to recombine resources creatively is significantly enhanced.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this positive interaction is most pronounced in environments characterized by high institutional voids.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highly institutionalized, stable markets, standardized optimizing strategies are more effective.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in highly volatile, unsupportive environments, the combination of iterative learning and resourceful bricolage provides a powerful dynamic competency for resilience and disruptive innovation.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Algorithmic Legitimacy, Platform Curation, and Relational Governance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Architecture of Responsible AI Governance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artificial intelligence transitions from localized applications to systemic infrastructures that shape public policy, healthcare, and financial access, the demand for robust governance has intensified.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Between 2021 and 2026, a global regulatory landscape has emerged, anchored by major frameworks such as the European Union Artificial Intelligence Act (2024), the National Institute of Standards and Technology (NIST) AI Risk Management Framework, and China's Ethical Norms for New Generation AI (2021).</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frameworks aim to institutionalize a consensus around core ethical principles, including transparency, algorithmic accountability, safety, non-discrimination, and human oversight.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National and Regional Policy Frameworks in AI Governance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Policy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Compliance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United States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AI Strategy FY 2024-2025 (EAIS) / Executive Order 14110.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vision, department-wide procurement guidelines, and agency-level risk-management protocols.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trustworthy AI deployment to empower diplomacy and safeguard civil rights.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China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Ethical Norms for New Generation AI (2021) / Algorithm Recommendation Guidelines.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Mandatory provider registration; user customization opt-outs; dataset random spot-checks (checking </w:t>
            </w:r>
            <w:r w:rsidDel="00000000" w:rsidR="00000000" w:rsidRPr="00000000">
              <w:rPr>
                <w:rFonts w:ascii="Google Sans" w:cs="Google Sans" w:eastAsia="Google Sans" w:hAnsi="Google Sans"/>
                <w:color w:val="1f1f1f"/>
                <w:shd w:fill="auto" w:val="clear"/>
              </w:rPr>
              <w:drawing>
                <wp:inline distB="19050" distT="19050" distL="19050" distR="19050">
                  <wp:extent cx="564803" cy="192273"/>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4803" cy="1922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items for </w:t>
            </w:r>
            <w:r w:rsidDel="00000000" w:rsidR="00000000" w:rsidRPr="00000000">
              <w:rPr>
                <w:rFonts w:ascii="Google Sans" w:cs="Google Sans" w:eastAsia="Google Sans" w:hAnsi="Google Sans"/>
                <w:color w:val="1f1f1f"/>
                <w:shd w:fill="auto" w:val="clear"/>
              </w:rPr>
              <w:drawing>
                <wp:inline distB="19050" distT="19050" distL="19050" distR="19050">
                  <wp:extent cx="466018" cy="19118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6018" cy="1911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of public opinion; algorithmic content recommendation transparency; protecting national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Australia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Technology Roadmap (2019) / AI Action Plan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Dedicated funding through the AI Capability Fund; proposals paper on mandatory high-risk guardrails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trusted AI capabilities; secure human-centric values in commercial deployments.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Europe (Multi-lateral)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 Artificial Intelligence Act (2024) / Council of Europe Convention 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risk categorization; mandatory worker transition funds; enforceable transparency and audit trails.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system-level regulation; human rights protection; mitigating systemic labor disruptions.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Kenya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Draft National AI Policy (2023) / Draft AI Code of Practice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Voluntary guidelines from the Bureau of Standards; personal data protection authority 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Ethically guided economic growth; local job creation; local skilling and data infrastructure development.</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systematic reviews reveal a persistent "implementation gap".</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Many corporations participate in "ethical washing" or "compliance theater," adopting superficial ethical rhetoric without implementing substantive changes to their underlying model designs, data pipelines, or deployment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bridge this gap, frameworks like the 5-P Strategic Framework and the V.A.L.U.E. Framework have been proposed to translate high-level global standards into real-time, user-level protocols that safeguard human agency and semantic moral oversight.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structuralize organizational compliance, researchers propose the "Hourglass Model" of AI governance.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model distinguishes between the "easy problems" of governance (e.g., technical verification, speed, and standard API transparency) and the "hard problems" of governance (e.g., resolving complex ethical trade-offs, managing long-term socio-technical transitions, and establishing multi-stakeholder accountability across decentralized platforms).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scoping reviews demonstrate that responsible AI governance must be evaluated through a multidimensional lens integrating three distinct organizational dimensions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Structural Practices:</w:t>
      </w:r>
      <w:r w:rsidDel="00000000" w:rsidR="00000000" w:rsidRPr="00000000">
        <w:rPr>
          <w:rFonts w:ascii="Google Sans" w:cs="Google Sans" w:eastAsia="Google Sans" w:hAnsi="Google Sans"/>
          <w:color w:val="1f1f1f"/>
          <w:rtl w:val="0"/>
        </w:rPr>
        <w:t xml:space="preserve"> The formal establishment of AI ethics boards, continuous auditing tools, and dedicated compliance roles.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Relational Practices:</w:t>
      </w:r>
      <w:r w:rsidDel="00000000" w:rsidR="00000000" w:rsidRPr="00000000">
        <w:rPr>
          <w:rFonts w:ascii="Google Sans" w:cs="Google Sans" w:eastAsia="Google Sans" w:hAnsi="Google Sans"/>
          <w:color w:val="1f1f1f"/>
          <w:rtl w:val="0"/>
        </w:rPr>
        <w:t xml:space="preserve"> Building active, multi-stakeholder dialogue, developer-user alignment, and collaborative co-design workshops.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Procedural Practices:</w:t>
      </w:r>
      <w:r w:rsidDel="00000000" w:rsidR="00000000" w:rsidRPr="00000000">
        <w:rPr>
          <w:rFonts w:ascii="Google Sans" w:cs="Google Sans" w:eastAsia="Google Sans" w:hAnsi="Google Sans"/>
          <w:color w:val="1f1f1f"/>
          <w:rtl w:val="0"/>
        </w:rPr>
        <w:t xml:space="preserve"> The implementation of rigorous data minimization, continuous model evaluation, and clear, reproducible audit trails.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and Testing Algorithmic Legitimacy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digital state, public power is increasingly exercised through automated decision systems, transforming the nature of administrative authority.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this context, algorithmic legitimacy is defined as </w:t>
      </w:r>
      <w:r w:rsidDel="00000000" w:rsidR="00000000" w:rsidRPr="00000000">
        <w:rPr>
          <w:rFonts w:ascii="Google Sans" w:cs="Google Sans" w:eastAsia="Google Sans" w:hAnsi="Google Sans"/>
          <w:i w:val="1"/>
          <w:iCs w:val="1"/>
          <w:color w:val="1f1f1f"/>
          <w:rtl w:val="0"/>
        </w:rPr>
        <w:t xml:space="preserve">the publicly defensible right to govern via computational systems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legitimacy is not static; it is produced, negotiated, and tested across a multi-stage data pipeline.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Reframing David Easton's classic political system model through a digital pipeline lens reveals that algorithmic legitimacy depends on procedural integrity across input, throughput, and output phases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01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51601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w:t>
      </w:r>
      <w:r w:rsidDel="00000000" w:rsidR="00000000" w:rsidRPr="00000000">
        <w:rPr>
          <w:rFonts w:ascii="Google Sans" w:cs="Google Sans" w:eastAsia="Google Sans" w:hAnsi="Google Sans"/>
          <w:b w:val="1"/>
          <w:bCs w:val="1"/>
          <w:color w:val="1f1f1f"/>
          <w:rtl w:val="0"/>
        </w:rPr>
        <w:t xml:space="preserve">Input Phase</w:t>
      </w:r>
      <w:r w:rsidDel="00000000" w:rsidR="00000000" w:rsidRPr="00000000">
        <w:rPr>
          <w:rFonts w:ascii="Google Sans" w:cs="Google Sans" w:eastAsia="Google Sans" w:hAnsi="Google Sans"/>
          <w:color w:val="1f1f1f"/>
          <w:rtl w:val="0"/>
        </w:rPr>
        <w:t xml:space="preserve">, legitimacy depends on data acquisition, selection of representative datasets, and participatory system design.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the </w:t>
      </w:r>
      <w:r w:rsidDel="00000000" w:rsidR="00000000" w:rsidRPr="00000000">
        <w:rPr>
          <w:rFonts w:ascii="Google Sans" w:cs="Google Sans" w:eastAsia="Google Sans" w:hAnsi="Google Sans"/>
          <w:b w:val="1"/>
          <w:bCs w:val="1"/>
          <w:color w:val="1f1f1f"/>
          <w:rtl w:val="0"/>
        </w:rPr>
        <w:t xml:space="preserve">Throughput Phase</w:t>
      </w:r>
      <w:r w:rsidDel="00000000" w:rsidR="00000000" w:rsidRPr="00000000">
        <w:rPr>
          <w:rFonts w:ascii="Google Sans" w:cs="Google Sans" w:eastAsia="Google Sans" w:hAnsi="Google Sans"/>
          <w:color w:val="1f1f1f"/>
          <w:rtl w:val="0"/>
        </w:rPr>
        <w:t xml:space="preserve">, legitimacy requires model explainability, contestability, and the avoidance of self-referential auto-justification, where algorithms validate their decisions by citing their own internal metrics.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Finally, during the </w:t>
      </w:r>
      <w:r w:rsidDel="00000000" w:rsidR="00000000" w:rsidRPr="00000000">
        <w:rPr>
          <w:rFonts w:ascii="Google Sans" w:cs="Google Sans" w:eastAsia="Google Sans" w:hAnsi="Google Sans"/>
          <w:b w:val="1"/>
          <w:bCs w:val="1"/>
          <w:color w:val="1f1f1f"/>
          <w:rtl w:val="0"/>
        </w:rPr>
        <w:t xml:space="preserve">Output Phase</w:t>
      </w:r>
      <w:r w:rsidDel="00000000" w:rsidR="00000000" w:rsidRPr="00000000">
        <w:rPr>
          <w:rFonts w:ascii="Google Sans" w:cs="Google Sans" w:eastAsia="Google Sans" w:hAnsi="Google Sans"/>
          <w:color w:val="1f1f1f"/>
          <w:rtl w:val="0"/>
        </w:rPr>
        <w:t xml:space="preserve">, legitimacy depends on auditable fairness, correction capacity, and public redress mechanisms.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Human-in-the-Loop as a Legitimacy Buffer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how procedural governance influences public trust, research by Ari Waldman and Kirsten Martin (2022) examined the relationship between decision importance, algorithmic governance, errors, and perceived legitimacy.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Utilizing factorial vignette surveys, the study established several critical findings regarding automated systems:</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integration of Human-in-the-Loop (HITL) governance—where human review is embedded directly into automated workflows—substantially increases the perceived legitimacy of algorithmic decision systems, even when those systems are prone to significant errors.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positive effect of human oversight is most pronounced in high-stakes, pivotal public decisions, such as parole determination, smart policing, and healthcare allocation.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Intriguingly, due to a lingering trust in technology, public perceptions impose a higher legitimacy penalty on human decision-makers when they make mistakes than when algorithmic systems commit identical errors.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While procedural notifications (such as privacy notices and algorithmic impact disclosures) fail to generate a legitimacy dividend on their own, the inclusion of a robust, actionable appeal process provides a significant legitimacy cushion when automated systems produce negative outcomes.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experimental research involving 1,135 Chinese citizens reveals a critical outcome-dependent value trade-off.</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Accountability and procedural fairness are most critical to citizens when automated decisions result in </w:t>
      </w:r>
      <w:r w:rsidDel="00000000" w:rsidR="00000000" w:rsidRPr="00000000">
        <w:rPr>
          <w:rFonts w:ascii="Google Sans" w:cs="Google Sans" w:eastAsia="Google Sans" w:hAnsi="Google Sans"/>
          <w:i w:val="1"/>
          <w:iCs w:val="1"/>
          <w:color w:val="1f1f1f"/>
          <w:rtl w:val="0"/>
        </w:rPr>
        <w:t xml:space="preserve">losses</w:t>
      </w:r>
      <w:r w:rsidDel="00000000" w:rsidR="00000000" w:rsidRPr="00000000">
        <w:rPr>
          <w:rFonts w:ascii="Google Sans" w:cs="Google Sans" w:eastAsia="Google Sans" w:hAnsi="Google Sans"/>
          <w:color w:val="1f1f1f"/>
          <w:rtl w:val="0"/>
        </w:rPr>
        <w:t xml:space="preserve">, whereas technical </w:t>
      </w:r>
      <w:r w:rsidDel="00000000" w:rsidR="00000000" w:rsidRPr="00000000">
        <w:rPr>
          <w:rFonts w:ascii="Google Sans" w:cs="Google Sans" w:eastAsia="Google Sans" w:hAnsi="Google Sans"/>
          <w:i w:val="1"/>
          <w:iCs w:val="1"/>
          <w:color w:val="1f1f1f"/>
          <w:rtl w:val="0"/>
        </w:rPr>
        <w:t xml:space="preserve">effectiveness</w:t>
      </w:r>
      <w:r w:rsidDel="00000000" w:rsidR="00000000" w:rsidRPr="00000000">
        <w:rPr>
          <w:rFonts w:ascii="Google Sans" w:cs="Google Sans" w:eastAsia="Google Sans" w:hAnsi="Google Sans"/>
          <w:color w:val="1f1f1f"/>
          <w:rtl w:val="0"/>
        </w:rPr>
        <w:t xml:space="preserve"> and efficiency are prioritized when the automated outcomes are </w:t>
      </w:r>
      <w:r w:rsidDel="00000000" w:rsidR="00000000" w:rsidRPr="00000000">
        <w:rPr>
          <w:rFonts w:ascii="Google Sans" w:cs="Google Sans" w:eastAsia="Google Sans" w:hAnsi="Google Sans"/>
          <w:i w:val="1"/>
          <w:iCs w:val="1"/>
          <w:color w:val="1f1f1f"/>
          <w:rtl w:val="0"/>
        </w:rPr>
        <w:t xml:space="preserve">positive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deploying systems in extreme, volatile contexts (such as Africa), leaders must institutionalize "legitimacy infrastructure" rather than relying on abstract ethical principles alone.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Grounded in a Sensing-Stabilizing-Legitimizing (SSL) capability model, organizations can sustain authority under volatility.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Importantly, companies cannot overcome the legitimacy penalty of using arbitrary or morally dubious data variables (e.g., race or the day of the week) through a good outcome or an appeal process; utilizing such variables completely erases the legitimacy dividend.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Governance, Curation, and Ecosystem Trust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 governance has shifted from passive content hosting to active, algorithmically curated moderation.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Recommender algorithms on social platforms (such as YouTube's sidebar recommendations or TikTok's "For You" feed) actively optimize for engagement, which can introduce "exposure drift" and coordinated inauthentic behavior, undermining information integrity and public trust.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build civic resilience, private sector platforms must enhance transparency regarding content promotion and demotion, political advertising, and generative AI content labeling.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On YouTube, sidebar recommendations are shown to "forget" prior far-right preferences after about 30 videos when users switch to moderate content, demonstrating how platform-specific design affordances shape exposure dynamics.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platform ecosystems, governance is often delegating normative and evaluative functions to technical systems, creating "hypernudge" architectures that guide user behavior.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However, algorithmic awareness can paradoxically reduce platform trust and increase user-perceived risk.</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these dynamics, researchers propose a paradigm shift in how platforms evaluate Large Language Models (LLMs) used for content moderation.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Instead of focusing solely on accuracy benchmarks, platforms must adopt a legitimacy-based framework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Easy Cases:</w:t>
      </w:r>
      <w:r w:rsidDel="00000000" w:rsidR="00000000" w:rsidRPr="00000000">
        <w:rPr>
          <w:rFonts w:ascii="Google Sans" w:cs="Google Sans" w:eastAsia="Google Sans" w:hAnsi="Google Sans"/>
          <w:color w:val="1f1f1f"/>
          <w:rtl w:val="0"/>
        </w:rPr>
        <w:t xml:space="preserve"> Prioritize accuracy, speed, and structural transparency.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Hard Cases:</w:t>
      </w:r>
      <w:r w:rsidDel="00000000" w:rsidR="00000000" w:rsidRPr="00000000">
        <w:rPr>
          <w:rFonts w:ascii="Google Sans" w:cs="Google Sans" w:eastAsia="Google Sans" w:hAnsi="Google Sans"/>
          <w:color w:val="1f1f1f"/>
          <w:rtl w:val="0"/>
        </w:rPr>
        <w:t xml:space="preserve"> Prioritize reasoned justification, context sensitivity, and active user participation.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Empirical Landscape of Algorithmic Legitimacy and Platform Governance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Study /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Sample Size &amp;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Waldman &amp; Martin Legitimacy Study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Factorial vignette surveys.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HITL governance significantly increases perceived algorithmic legitimacy under errors; human errors are penalized more heavily than machine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 visible human oversight and active appeals channels rather than relying on static disclosure notices.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Chinese AI Bureaucracy Experiment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survey experiments (</w:t>
            </w:r>
            <w:r w:rsidDel="00000000" w:rsidR="00000000" w:rsidRPr="00000000">
              <w:rPr>
                <w:rFonts w:ascii="Google Sans" w:cs="Google Sans" w:eastAsia="Google Sans" w:hAnsi="Google Sans"/>
                <w:color w:val="1f1f1f"/>
                <w:shd w:fill="auto" w:val="clear"/>
              </w:rPr>
              <w:drawing>
                <wp:inline distB="19050" distT="19050" distL="19050" distR="19050">
                  <wp:extent cx="756605" cy="20416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56605" cy="20416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participants).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Accountability is prioritized during automated losses; technical effectiveness is prioritized during positive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Tailor governance frameworks to decision outcomes, prioritizing transparency when systems impose negative sanctions.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LLM Content Moderation Paradigm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Theoretical and analytical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 evaluation from pure accuracy metrics toward a multi-criteria legitimacy-based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 fast automation for clear-cut moderation, but preserve human deliberation and reasoned justification for hard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Cross-Border E-Commerce (CBEC)</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Empirical survey (</w:t>
            </w:r>
            <w:r w:rsidDel="00000000" w:rsidR="00000000" w:rsidRPr="00000000">
              <w:rPr>
                <w:rFonts w:ascii="Google Sans" w:cs="Google Sans" w:eastAsia="Google Sans" w:hAnsi="Google Sans"/>
                <w:color w:val="1f1f1f"/>
                <w:shd w:fill="auto" w:val="clear"/>
              </w:rPr>
              <w:drawing>
                <wp:inline distB="19050" distT="19050" distL="19050" distR="19050">
                  <wp:extent cx="604056" cy="205379"/>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4056" cy="2053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valid questionnaires).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Normative mechanisms and community-building enhance seller trust by reducing perceived risks; institutional distance moderates efficacy.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 relational governance and localized community-building to overcome institutional distance and cross-border frictions.</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legitimacy framework is highly relevant on two-sided platforms, where rating systems are used to reduce transaction costs and search friction.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For example, TripAdvisor's cheap access to rating systems reduced consumer search costs, prompting the market exit of lower-rated establishments.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where substantial cross-side power imbalances exist between the platform operator, service providers, and customers, rating systems can generate negative feedback loops and worker disengagement.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in cross-border e-commerce (CBEC), institutional distance can lead to deviations in how sellers understand and implement platform policies.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Relational governance mechanisms, such as proactive community-building, are essential to mitigate these perceived risks and prevent institutional distance from eroding platform trust.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AI Augmentation, Cognitive Offloading, and the Reconfiguration of Entrepreneurial Cognition</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Capabilities and the Productivity Paradox</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navigate digitalization, firms must reconstruct their dynamic capabilities—specifically their organizational coordination and integration, change and transformation, and learning and absorption capabilities.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Empirical evidence reveals that dynamic capability reconstruction is the primary transmission path through which digital transformation enhances Total Factor Productivity (TFP).</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Among various digital technologies, AI adoption exhibits the strongest promoting effect on TFP, followed by Big Data and cloud applications.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20456"/>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42045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Firms adopting AI realize average productivity gains of 3% to 6%.</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However, these gains are highly uneven.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Larger, digitally mature enterprises with highly skilled workforces experience disproportionate productivity enhancements, while under-resourced ventures risk falling further behind, reinforcing market divergence.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and the GAIN Framework</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adoption of Generative AI (GenAI) has transformed entrepreneurial classrooms, ecopreneurship platforms, and venture workflows.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By lowering barriers to entry and accelerating innovation cycles, GenAI democratizes resource access and allows startup teams to simulate market environments.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guide the integration of GenAI in entrepreneurial settings, scholars propose the </w:t>
      </w:r>
      <w:r w:rsidDel="00000000" w:rsidR="00000000" w:rsidRPr="00000000">
        <w:rPr>
          <w:rFonts w:ascii="Google Sans" w:cs="Google Sans" w:eastAsia="Google Sans" w:hAnsi="Google Sans"/>
          <w:b w:val="1"/>
          <w:bCs w:val="1"/>
          <w:color w:val="1f1f1f"/>
          <w:rtl w:val="0"/>
        </w:rPr>
        <w:t xml:space="preserve">GAIN Framework</w:t>
      </w:r>
      <w:r w:rsidDel="00000000" w:rsidR="00000000" w:rsidRPr="00000000">
        <w:rPr>
          <w:rFonts w:ascii="Google Sans" w:cs="Google Sans" w:eastAsia="Google Sans" w:hAnsi="Google Sans"/>
          <w:color w:val="1f1f1f"/>
          <w:rtl w:val="0"/>
        </w:rPr>
        <w:t xml:space="preserve">, which organizes AI's roles into four strategic pillars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Generation:</w:t>
      </w:r>
      <w:r w:rsidDel="00000000" w:rsidR="00000000" w:rsidRPr="00000000">
        <w:rPr>
          <w:rFonts w:ascii="Google Sans" w:cs="Google Sans" w:eastAsia="Google Sans" w:hAnsi="Google Sans"/>
          <w:color w:val="1f1f1f"/>
          <w:rtl w:val="0"/>
        </w:rPr>
        <w:t xml:space="preserve"> The automated production of novel marketing copy, software code, product prototypes, and business simulations.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Augmentation:</w:t>
      </w:r>
      <w:r w:rsidDel="00000000" w:rsidR="00000000" w:rsidRPr="00000000">
        <w:rPr>
          <w:rFonts w:ascii="Google Sans" w:cs="Google Sans" w:eastAsia="Google Sans" w:hAnsi="Google Sans"/>
          <w:color w:val="1f1f1f"/>
          <w:rtl w:val="0"/>
        </w:rPr>
        <w:t xml:space="preserve"> Enhancing human creativity and analytical execution, allowing entrepreneurs to iterate rapidly.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Integration:</w:t>
      </w:r>
      <w:r w:rsidDel="00000000" w:rsidR="00000000" w:rsidRPr="00000000">
        <w:rPr>
          <w:rFonts w:ascii="Google Sans" w:cs="Google Sans" w:eastAsia="Google Sans" w:hAnsi="Google Sans"/>
          <w:color w:val="1f1f1f"/>
          <w:rtl w:val="0"/>
        </w:rPr>
        <w:t xml:space="preserve"> Embedding AI tools into daily workflows and customer-facing software, optimizing operational efficiency.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Navigation:</w:t>
      </w:r>
      <w:r w:rsidDel="00000000" w:rsidR="00000000" w:rsidRPr="00000000">
        <w:rPr>
          <w:rFonts w:ascii="Google Sans" w:cs="Google Sans" w:eastAsia="Google Sans" w:hAnsi="Google Sans"/>
          <w:color w:val="1f1f1f"/>
          <w:rtl w:val="0"/>
        </w:rPr>
        <w:t xml:space="preserve"> Navigating ethical, legal, and intellectual property challenges, ensuring model usage remains fair and compliant.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supported by empirical evidence regarding the speed of adoption. Following the late 2022 launch of ChatGPT, individual and organizational AI use surged globally, with OpenAI's suite acquiring over 100 million users within only two months.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Offloading Paradox</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operational benefits, repeated reliance on GenAI introduces a critical cognitive challenge: </w:t>
      </w:r>
      <w:r w:rsidDel="00000000" w:rsidR="00000000" w:rsidRPr="00000000">
        <w:rPr>
          <w:rFonts w:ascii="Google Sans" w:cs="Google Sans" w:eastAsia="Google Sans" w:hAnsi="Google Sans"/>
          <w:b w:val="1"/>
          <w:bCs w:val="1"/>
          <w:color w:val="1f1f1f"/>
          <w:rtl w:val="0"/>
        </w:rPr>
        <w:t xml:space="preserve">cognitive offloading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Cognitive offloading refers to the delegation of mental tasks (such as information retrieval, complex arithmetic, or memory retention) to external tools to reduce cognitive demand.</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static historical tools (e.g., calculators or GPS systems), GenAI can automate higher-order creative and analytical tasks, including essay writing, explanation of complex concepts, and strategic ideation.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capability introduces a profound paradox within entrepreneurial cognition:</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While offloading routine analytical work frees up immediate mental bandwidth, repeated cognitive offloading through GenAI could hinder the development of students' and entrepreneurs' fundamental critical and creative thinking skills.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Furthermore, extensive field studies reveal that while GenAI enhances the creative output of </w:t>
      </w:r>
      <w:r w:rsidDel="00000000" w:rsidR="00000000" w:rsidRPr="00000000">
        <w:rPr>
          <w:rFonts w:ascii="Google Sans" w:cs="Google Sans" w:eastAsia="Google Sans" w:hAnsi="Google Sans"/>
          <w:i w:val="1"/>
          <w:iCs w:val="1"/>
          <w:color w:val="1f1f1f"/>
          <w:rtl w:val="0"/>
        </w:rPr>
        <w:t xml:space="preserve">individual</w:t>
      </w:r>
      <w:r w:rsidDel="00000000" w:rsidR="00000000" w:rsidRPr="00000000">
        <w:rPr>
          <w:rFonts w:ascii="Google Sans" w:cs="Google Sans" w:eastAsia="Google Sans" w:hAnsi="Google Sans"/>
          <w:color w:val="1f1f1f"/>
          <w:rtl w:val="0"/>
        </w:rPr>
        <w:t xml:space="preserve"> users, it significantly reduces the </w:t>
      </w:r>
      <w:r w:rsidDel="00000000" w:rsidR="00000000" w:rsidRPr="00000000">
        <w:rPr>
          <w:rFonts w:ascii="Google Sans" w:cs="Google Sans" w:eastAsia="Google Sans" w:hAnsi="Google Sans"/>
          <w:i w:val="1"/>
          <w:iCs w:val="1"/>
          <w:color w:val="1f1f1f"/>
          <w:rtl w:val="0"/>
        </w:rPr>
        <w:t xml:space="preserve">collective diversity</w:t>
      </w:r>
      <w:r w:rsidDel="00000000" w:rsidR="00000000" w:rsidRPr="00000000">
        <w:rPr>
          <w:rFonts w:ascii="Google Sans" w:cs="Google Sans" w:eastAsia="Google Sans" w:hAnsi="Google Sans"/>
          <w:color w:val="1f1f1f"/>
          <w:rtl w:val="0"/>
        </w:rPr>
        <w:t xml:space="preserve"> of novel content produced across a market.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Because generative models are trained on homogenized, historical datasets, they steer diverse human minds toward similar, highly standardized conceptual paths, leading to market-wide ideational convergence.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tension is highly pronounced in educational and organizational ecosystems, where student and employee adoption rates have surged dramatically, often bypassing established pedagogical and institutional guidelines.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Global Metrics of AI Investment, Optimism, and Cognitive Offloading (2024–2025)</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Quantitative Data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UK Student AI Adoption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Undergraduate AI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Surged to </w:t>
            </w:r>
            <w:r w:rsidDel="00000000" w:rsidR="00000000" w:rsidRPr="00000000">
              <w:rPr>
                <w:rFonts w:ascii="Google Sans" w:cs="Google Sans" w:eastAsia="Google Sans" w:hAnsi="Google Sans"/>
                <w:b w:val="1"/>
                <w:bCs w:val="1"/>
                <w:color w:val="1f1f1f"/>
                <w:shd w:fill="auto" w:val="clear"/>
                <w:rtl w:val="0"/>
              </w:rPr>
              <w:t xml:space="preserve">92% in 2025</w:t>
            </w:r>
            <w:r w:rsidDel="00000000" w:rsidR="00000000" w:rsidRPr="00000000">
              <w:rPr>
                <w:rFonts w:ascii="Google Sans" w:cs="Google Sans" w:eastAsia="Google Sans" w:hAnsi="Google Sans"/>
                <w:color w:val="1f1f1f"/>
                <w:shd w:fill="auto" w:val="clear"/>
                <w:rtl w:val="0"/>
              </w:rPr>
              <w:t xml:space="preserve"> (up from 66% in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Near-universal student exposure; demands immediate overhaul of critical thinking assessments.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UK Student AI Assessment Use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GenAI Use specifically for Assessments.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Surged to </w:t>
            </w:r>
            <w:r w:rsidDel="00000000" w:rsidR="00000000" w:rsidRPr="00000000">
              <w:rPr>
                <w:rFonts w:ascii="Google Sans" w:cs="Google Sans" w:eastAsia="Google Sans" w:hAnsi="Google Sans"/>
                <w:b w:val="1"/>
                <w:bCs w:val="1"/>
                <w:color w:val="1f1f1f"/>
                <w:shd w:fill="auto" w:val="clear"/>
                <w:rtl w:val="0"/>
              </w:rPr>
              <w:t xml:space="preserve">88% in 2025</w:t>
            </w:r>
            <w:r w:rsidDel="00000000" w:rsidR="00000000" w:rsidRPr="00000000">
              <w:rPr>
                <w:rFonts w:ascii="Google Sans" w:cs="Google Sans" w:eastAsia="Google Sans" w:hAnsi="Google Sans"/>
                <w:color w:val="1f1f1f"/>
                <w:shd w:fill="auto" w:val="clear"/>
                <w:rtl w:val="0"/>
              </w:rPr>
              <w:t xml:space="preserve"> (up from 53% in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shift in how knowledge is constructed; risk of widespread cognitive offloading.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Canadian Student AI Use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GenAI Schoolwork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Reached </w:t>
            </w:r>
            <w:r w:rsidDel="00000000" w:rsidR="00000000" w:rsidRPr="00000000">
              <w:rPr>
                <w:rFonts w:ascii="Google Sans" w:cs="Google Sans" w:eastAsia="Google Sans" w:hAnsi="Google Sans"/>
                <w:b w:val="1"/>
                <w:bCs w:val="1"/>
                <w:color w:val="1f1f1f"/>
                <w:shd w:fill="auto" w:val="clear"/>
                <w:rtl w:val="0"/>
              </w:rPr>
              <w:t xml:space="preserve">73% in 2025</w:t>
            </w:r>
            <w:r w:rsidDel="00000000" w:rsidR="00000000" w:rsidRPr="00000000">
              <w:rPr>
                <w:rFonts w:ascii="Google Sans" w:cs="Google Sans" w:eastAsia="Google Sans" w:hAnsi="Google Sans"/>
                <w:color w:val="1f1f1f"/>
                <w:shd w:fill="auto" w:val="clear"/>
                <w:rtl w:val="0"/>
              </w:rPr>
              <w:t xml:space="preserve"> (up from 59% in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Accelerated reliance on automated cognitive assistance across North American universities.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U.S. Private AI Investment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National Private AI Funding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Reached </w:t>
            </w:r>
            <w:r w:rsidDel="00000000" w:rsidR="00000000" w:rsidRPr="00000000">
              <w:rPr>
                <w:rFonts w:ascii="Google Sans" w:cs="Google Sans" w:eastAsia="Google Sans" w:hAnsi="Google Sans"/>
                <w:b w:val="1"/>
                <w:bCs w:val="1"/>
                <w:color w:val="1f1f1f"/>
                <w:shd w:fill="auto" w:val="clear"/>
                <w:rtl w:val="0"/>
              </w:rPr>
              <w:t xml:space="preserve">$109.1 billion</w:t>
            </w:r>
            <w:r w:rsidDel="00000000" w:rsidR="00000000" w:rsidRPr="00000000">
              <w:rPr>
                <w:rFonts w:ascii="Google Sans" w:cs="Google Sans" w:eastAsia="Google Sans" w:hAnsi="Google Sans"/>
                <w:color w:val="1f1f1f"/>
                <w:shd w:fill="auto" w:val="clear"/>
                <w:rtl w:val="0"/>
              </w:rPr>
              <w:t xml:space="preserve"> (vs China's $9.3B; UK's $4.5B).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geographical concentration of AI capital; reinforces American technological hegemony.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Global GenAI Investment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Private GenAI Funding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Reached </w:t>
            </w:r>
            <w:r w:rsidDel="00000000" w:rsidR="00000000" w:rsidRPr="00000000">
              <w:rPr>
                <w:rFonts w:ascii="Google Sans" w:cs="Google Sans" w:eastAsia="Google Sans" w:hAnsi="Google Sans"/>
                <w:b w:val="1"/>
                <w:bCs w:val="1"/>
                <w:color w:val="1f1f1f"/>
                <w:shd w:fill="auto" w:val="clear"/>
                <w:rtl w:val="0"/>
              </w:rPr>
              <w:t xml:space="preserve">$33.9 billion</w:t>
            </w:r>
            <w:r w:rsidDel="00000000" w:rsidR="00000000" w:rsidRPr="00000000">
              <w:rPr>
                <w:rFonts w:ascii="Google Sans" w:cs="Google Sans" w:eastAsia="Google Sans" w:hAnsi="Google Sans"/>
                <w:color w:val="1f1f1f"/>
                <w:shd w:fill="auto" w:val="clear"/>
                <w:rtl w:val="0"/>
              </w:rPr>
              <w:t xml:space="preserve"> (an 18.7% increase from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commercial momentum; accelerates the rapid deployment of autonomous agent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Global AI Optimism Divide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Sentiment (AI benefits </w:t>
            </w:r>
            <w:r w:rsidDel="00000000" w:rsidR="00000000" w:rsidRPr="00000000">
              <w:rPr>
                <w:rFonts w:ascii="Google Sans" w:cs="Google Sans" w:eastAsia="Google Sans" w:hAnsi="Google Sans"/>
                <w:color w:val="1f1f1f"/>
                <w:shd w:fill="auto" w:val="clear"/>
              </w:rPr>
              <w:drawing>
                <wp:inline distB="19050" distT="19050" distL="19050" distR="19050">
                  <wp:extent cx="125574" cy="200918"/>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5574" cy="2009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China (83%) / Indonesia (80%)</w:t>
            </w:r>
            <w:r w:rsidDel="00000000" w:rsidR="00000000" w:rsidRPr="00000000">
              <w:rPr>
                <w:rFonts w:ascii="Google Sans" w:cs="Google Sans" w:eastAsia="Google Sans" w:hAnsi="Google Sans"/>
                <w:color w:val="1f1f1f"/>
                <w:shd w:fill="auto" w:val="clear"/>
                <w:rtl w:val="0"/>
              </w:rPr>
              <w:t xml:space="preserve"> vs </w:t>
            </w:r>
            <w:r w:rsidDel="00000000" w:rsidR="00000000" w:rsidRPr="00000000">
              <w:rPr>
                <w:rFonts w:ascii="Google Sans" w:cs="Google Sans" w:eastAsia="Google Sans" w:hAnsi="Google Sans"/>
                <w:b w:val="1"/>
                <w:bCs w:val="1"/>
                <w:color w:val="1f1f1f"/>
                <w:shd w:fill="auto" w:val="clear"/>
                <w:rtl w:val="0"/>
              </w:rPr>
              <w:t xml:space="preserve">US (39%) / Canada (40%)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Profound regional divergence; emerging markets show high optimism, while Western societies remain highly skeptical.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Corporate AI Integration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Organizational AI Adoption Rate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Reached </w:t>
            </w:r>
            <w:r w:rsidDel="00000000" w:rsidR="00000000" w:rsidRPr="00000000">
              <w:rPr>
                <w:rFonts w:ascii="Google Sans" w:cs="Google Sans" w:eastAsia="Google Sans" w:hAnsi="Google Sans"/>
                <w:b w:val="1"/>
                <w:bCs w:val="1"/>
                <w:color w:val="1f1f1f"/>
                <w:shd w:fill="auto" w:val="clear"/>
                <w:rtl w:val="0"/>
              </w:rPr>
              <w:t xml:space="preserve">78% of organizations</w:t>
            </w:r>
            <w:r w:rsidDel="00000000" w:rsidR="00000000" w:rsidRPr="00000000">
              <w:rPr>
                <w:rFonts w:ascii="Google Sans" w:cs="Google Sans" w:eastAsia="Google Sans" w:hAnsi="Google Sans"/>
                <w:color w:val="1f1f1f"/>
                <w:shd w:fill="auto" w:val="clear"/>
                <w:rtl w:val="0"/>
              </w:rPr>
              <w:t xml:space="preserve"> (up from 55% in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transitions from experimental laboratories into mainstream corporate workflows.</w:t>
            </w:r>
          </w:p>
        </w:tc>
      </w:tr>
    </w:tbl>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Recomposition and the Automation Green Light Zone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socio-economic front, the integration of GenAI is transforming labor markets.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Rather than full job substitution, generative tools are causing a "recomposition" of labor, augmenting mid-skill roles and customer service functions, which leads to increased productivity alongside wage compression.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this transition, governments are piloting digital public infrastructures (such as India's AI Skilling Stack and EU worker transition funds) to embed human-centered retraining pathways into the future of work.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International Telecommunications Union (2025), automation research can be organized into three distinct zones based on human desire and machine capability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Automation Green Light Zone:</w:t>
      </w:r>
      <w:r w:rsidDel="00000000" w:rsidR="00000000" w:rsidRPr="00000000">
        <w:rPr>
          <w:rFonts w:ascii="Google Sans" w:cs="Google Sans" w:eastAsia="Google Sans" w:hAnsi="Google Sans"/>
          <w:color w:val="1f1f1f"/>
          <w:rtl w:val="0"/>
        </w:rPr>
        <w:t xml:space="preserve"> High automation desire and high capability (e.g., automating highly repetitive or low-value administrative tasks).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Automation Red Light Zone:</w:t>
      </w:r>
      <w:r w:rsidDel="00000000" w:rsidR="00000000" w:rsidRPr="00000000">
        <w:rPr>
          <w:rFonts w:ascii="Google Sans" w:cs="Google Sans" w:eastAsia="Google Sans" w:hAnsi="Google Sans"/>
          <w:color w:val="1f1f1f"/>
          <w:rtl w:val="0"/>
        </w:rPr>
        <w:t xml:space="preserve"> High technical capability but low human desire (e.g., relational, empathetic, or sensitive domains like early childhood education, healthcare, and pastoral care).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R&amp;D Opportunity Zone:</w:t>
      </w:r>
      <w:r w:rsidDel="00000000" w:rsidR="00000000" w:rsidRPr="00000000">
        <w:rPr>
          <w:rFonts w:ascii="Google Sans" w:cs="Google Sans" w:eastAsia="Google Sans" w:hAnsi="Google Sans"/>
          <w:color w:val="1f1f1f"/>
          <w:rtl w:val="0"/>
        </w:rPr>
        <w:t xml:space="preserve"> High human desire for automation, but currently limited technical capability.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experimental research demonstrates that high automation can cause human workers to "fall asleep at the wheel".</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 studies of HR recruiters utilizing AI-augmented decision support, developers noted significant learning and coordination failures when juniors or seniors accepted algorithmic evaluations uncritically, highlighting the dangers of excessive reliance.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these cognitive challenges under rapid change, entrepreneurs must build advanced AI literacy—the capacity to ethically comprehend, utilize, and critically evaluate AI outputs.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High AI literacy helps mitigate "AI anxiety" and reduces "algorithmic dependency"—the tendency to accept automated recommendations uncritically without exercising moral or strategic oversight.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maintaining critical cognitive distance, future-conscious entrepreneurs can treat AI as a "cybernetic teammate" while retaining their unique human role of strategic judgment, allowing them to initiate timely pivots and foster long-term business model resilience.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Conclusions: An Integrated Strategic Action Playbook</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Sustaining innovation and competitiveness under uncertainty requires an integrated strategic model that combines temporal, resourceful, and technological elements.</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Systemic Adaptation Playbook for Resource-Constrained Ventures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Action / Directive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Organizational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 Playbook Lever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Temporal Foresight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Transition operations from predictive planning toward scenaric and transformative foresight frames.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Strategic Myopia:</w:t>
            </w:r>
            <w:r w:rsidDel="00000000" w:rsidR="00000000" w:rsidRPr="00000000">
              <w:rPr>
                <w:rFonts w:ascii="Google Sans" w:cs="Google Sans" w:eastAsia="Google Sans" w:hAnsi="Google Sans"/>
                <w:color w:val="1f1f1f"/>
                <w:shd w:fill="auto" w:val="clear"/>
                <w:rtl w:val="0"/>
              </w:rPr>
              <w:t xml:space="preserve"> Relying on narrow, short-term operational horizons that fail under disruption.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multi-stakeholder co-design, Causal Layered Analysis (CLA), and Jim Dator's Four Futures.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Resource Orchestration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 local resource mobilization via selective digital bricolage and Digital Resource Leverage (DRL).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Digital Bricolage Trap:</w:t>
            </w:r>
            <w:r w:rsidDel="00000000" w:rsidR="00000000" w:rsidRPr="00000000">
              <w:rPr>
                <w:rFonts w:ascii="Google Sans" w:cs="Google Sans" w:eastAsia="Google Sans" w:hAnsi="Google Sans"/>
                <w:color w:val="1f1f1f"/>
                <w:shd w:fill="auto" w:val="clear"/>
                <w:rtl w:val="0"/>
              </w:rPr>
              <w:t xml:space="preserve"> Accumulating fragmented, insecure, and unscalable software workarounds.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 resource logic from ownership to orchestration; coordinate modular, open-source infrastructures.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Institutional Navigation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 strategic workout practices; leverage innovation hubs; engage in constructive rule-breaking.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Compliance Paralysis:</w:t>
            </w:r>
            <w:r w:rsidDel="00000000" w:rsidR="00000000" w:rsidRPr="00000000">
              <w:rPr>
                <w:rFonts w:ascii="Google Sans" w:cs="Google Sans" w:eastAsia="Google Sans" w:hAnsi="Google Sans"/>
                <w:color w:val="1f1f1f"/>
                <w:shd w:fill="auto" w:val="clear"/>
                <w:rtl w:val="0"/>
              </w:rPr>
              <w:t xml:space="preserve"> Allowing formal transaction frictions and credit voids to stall strategic actions.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Cultivate rule relativity beliefs (F1); cycle between problemistic search and failure-based learning.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Algorithmic Legitimacy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 robust Human-in-the-Loop (HITL) pipelines; secure epistemic transparency and active appeals.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Compliance Theater:</w:t>
            </w:r>
            <w:r w:rsidDel="00000000" w:rsidR="00000000" w:rsidRPr="00000000">
              <w:rPr>
                <w:rFonts w:ascii="Google Sans" w:cs="Google Sans" w:eastAsia="Google Sans" w:hAnsi="Google Sans"/>
                <w:color w:val="1f1f1f"/>
                <w:shd w:fill="auto" w:val="clear"/>
                <w:rtl w:val="0"/>
              </w:rPr>
              <w:t xml:space="preserve"> Engaging in superficial ethical washing without operationalizing audits.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 multidimensional tests; build clear, contestable throughput pipelines and public redress channels.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Cognitive Augmentation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Treat Generative AI as a cybernetic teammate; build high AI literacy; protect critical cognitive spaces.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Cognitive Offloading Atrophy:</w:t>
            </w:r>
            <w:r w:rsidDel="00000000" w:rsidR="00000000" w:rsidRPr="00000000">
              <w:rPr>
                <w:rFonts w:ascii="Google Sans" w:cs="Google Sans" w:eastAsia="Google Sans" w:hAnsi="Google Sans"/>
                <w:color w:val="1f1f1f"/>
                <w:shd w:fill="auto" w:val="clear"/>
                <w:rtl w:val="0"/>
              </w:rPr>
              <w:t xml:space="preserve"> Delegating higher-order strategic thinking, leading to market convergence.</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 workflows across the three Automation Zones; enforce active cognitive distance to avoid algorithmic subjection.</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actively balancing these five pillars, modern organizations can transform systemic constraints into strategic leverage. Under-resourced startups and microenterprises can utilize selective digital bricolage to bypass institutional voids.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by developing heightened future consciousness and advanced AI literacy, entrepreneurs protect their cognitive autonomy, ensuring that technology serves as a tool for genuine business model innovation rather than a catalyst for strategic lock-in or cognitive decline.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by anchoring their digital architectures in algorithmic legitimacy and visible, human-in-the-loop oversight, platform enterprises secure the broad stakeholder trust required to achieve sustainable, long-term market integration and systemic resilience.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 foresight frames: Classifying policy foresight processes in foresight systems according to perceived unpredictability and pursued change | Request PDF - ResearchGate, accessed May 17,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https://www.researchgate.net/publication/337664386_Six_foresight_frames_Classifying_policy_foresight_processes_in_foresight_systems_according_to_perceived_unpredictability_and_pursued_change</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Entrepreneurial Bricolage in the Face of Institutional Voids: The Case of Moroccan Startups, accessed May 17,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https://www.researchgate.net/publication/400578867_Entrepreneurial_Bricolage_in_the_Face_of_Institutional_Voids_The_Case_of_Moroccan_Startups</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biases and decision-making strategies in times of change: a systematic literature review - Emerald Publishing, accessed May 17, 2026, </w:t>
      </w:r>
      <w:hyperlink r:id="rId16">
        <w:r w:rsidDel="00000000" w:rsidR="00000000" w:rsidRPr="00000000">
          <w:rPr>
            <w:rFonts w:ascii="Google Sans" w:cs="Google Sans" w:eastAsia="Google Sans" w:hAnsi="Google Sans"/>
            <w:color w:val="0000ee"/>
            <w:sz w:val="24"/>
            <w:szCs w:val="24"/>
            <w:u w:val="single"/>
            <w:rtl w:val="0"/>
          </w:rPr>
          <w:t xml:space="preserve">https://www.emerald.com/md/article/59/3/638/286410/Cognitive-biases-and-decision-making-strategies-in</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futures consciousness: Psychology behind the five-dimensional Futures Consciousness scale | Request PDF - ResearchGate, accessed May 17,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https://www.researchgate.net/publication/349166713_Individual_futures_consciousness_Psychology_behind_the_five-dimensional_Futures_Consciousness_scale</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Entrepreneurial Bricolage and Disruptive Innovation: The Joint Effect of Learning From Failure and Institutional voids - ResearchGate, accessed May 17,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https://www.researchgate.net/publication/386097637_Entrepreneurial_bricolage_and_disruptive_innovation_The_joint_effect_of_learning_from_failure_and_institutional_voids</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Consciousness: The Path to Purposeful Evolution--An Introduction - ResearchGate, accessed May 17,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https://www.researchgate.net/publication/310754429_Future_Consciousness_The_Path_to_Purposeful_Evolution--An_Introduction</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Shaping Futures Wisely: Integrating Futures Literacy with Entrepreneurship - ResearchGate, accessed May 17,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https://www.researchgate.net/publication/397236856_Shaping_Futures_Wisely_Integrating_Futures_Literacy_with_Entrepreneurship</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‪Matti Minkkinen‬ - ‪Google Scholar‬, accessed May 17, 2026, </w:t>
      </w:r>
      <w:hyperlink r:id="rId21">
        <w:r w:rsidDel="00000000" w:rsidR="00000000" w:rsidRPr="00000000">
          <w:rPr>
            <w:rFonts w:ascii="Google Sans" w:cs="Google Sans" w:eastAsia="Google Sans" w:hAnsi="Google Sans"/>
            <w:color w:val="0000ee"/>
            <w:sz w:val="24"/>
            <w:szCs w:val="24"/>
            <w:u w:val="single"/>
            <w:rtl w:val="0"/>
          </w:rPr>
          <w:t xml:space="preserve">https://scholar.google.com/citations?user=IBo2UPYAAAAJ&amp;hl=en</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Narratives of adaptation for future-oriented conservation - ANU Open Research - The Australian National University, accessed May 17, 2026, </w:t>
      </w:r>
      <w:hyperlink r:id="rId22">
        <w:r w:rsidDel="00000000" w:rsidR="00000000" w:rsidRPr="00000000">
          <w:rPr>
            <w:rFonts w:ascii="Google Sans" w:cs="Google Sans" w:eastAsia="Google Sans" w:hAnsi="Google Sans"/>
            <w:color w:val="0000ee"/>
            <w:sz w:val="24"/>
            <w:szCs w:val="24"/>
            <w:u w:val="single"/>
            <w:rtl w:val="0"/>
          </w:rPr>
          <w:t xml:space="preserve">https://openresearch-repository.anu.edu.au/server/api/core/bitstreams/a4b3d1ec-d0dc-48c8-b3f8-492d0ffc7fa3/content</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FORESIGHT IN RESEARCH - BGE, accessed May 17, 2026, </w:t>
      </w:r>
      <w:hyperlink r:id="rId23">
        <w:r w:rsidDel="00000000" w:rsidR="00000000" w:rsidRPr="00000000">
          <w:rPr>
            <w:rFonts w:ascii="Google Sans" w:cs="Google Sans" w:eastAsia="Google Sans" w:hAnsi="Google Sans"/>
            <w:color w:val="0000ee"/>
            <w:sz w:val="24"/>
            <w:szCs w:val="24"/>
            <w:u w:val="single"/>
            <w:rtl w:val="0"/>
          </w:rPr>
          <w:t xml:space="preserve">https://publikaciotar.uni-bge.hu/id/eprint/2199/1/BGEkn2023_k%C3%B6tet_konferencia_2023_final%20edited.pdf</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 pillars: Futures thinking for transforming | Request PDF - ResearchGate, accessed May 17,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https://www.researchgate.net/publication/228634731_Six_pillars_Futures_thinking_for_transforming</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Foresight, Partnerships, and Cross Sector Collective Impact: Strategies to Build A Partnership World - ResearchGate, accessed May 17,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https://www.researchgate.net/publication/387715205_Foresight_Partnerships_and_Cross_Sector_Collective_Impact_Strategies_to_Build_A_Partnership_World</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From Resource Scarcity to Digital Leverage: A Framework for Sustainable Technology and Circular-Economy-Oriented Social Entrepreneurship - ResearchGate, accessed May 17,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https://www.researchgate.net/publication/398866104_From_Resource_Scarcity_to_Digital_Leverage_A_Framework_for_Sustainable_Technology_and_Circular-Economy-Oriented_Social_Entrepreneurship</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Bricolage as a Path to Innovativeness for Resource-Constrained New Firms - ResearchGate, accessed May 17,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https://www.researchgate.net/publication/260123448_Bricolage_as_a_Path_to_Innovativeness_for_Resource-Constrained_New_Firms</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Impact of Entrepreneurial Bricolage on Performance of E-Commerce: Case Study in Jordan - ResearchGate, accessed May 17,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https://www.researchgate.net/publication/363745362_Impact_of_Entrepreneurial_Bricolage_on_Performance_of_E-Commerce_Case_Study_in_Jordan</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Bricolage and Its Limits: How Microenterprises Undertake Digitalization in Resource-Constrained Environments - ResearchGate, accessed May 17,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https://www.researchgate.net/publication/394392657_Digital_Bricolage_and_Its_Limits_How_Microenterprises_Undertake_Digitalization_in_Resource-Constrained_Environments/download</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‪Arman Sadreddin‬ - ‪Google Scholar‬, accessed May 17, 2026, </w:t>
      </w:r>
      <w:hyperlink r:id="rId30">
        <w:r w:rsidDel="00000000" w:rsidR="00000000" w:rsidRPr="00000000">
          <w:rPr>
            <w:rFonts w:ascii="Google Sans" w:cs="Google Sans" w:eastAsia="Google Sans" w:hAnsi="Google Sans"/>
            <w:color w:val="0000ee"/>
            <w:sz w:val="24"/>
            <w:szCs w:val="24"/>
            <w:u w:val="single"/>
            <w:rtl w:val="0"/>
          </w:rPr>
          <w:t xml:space="preserve">https://scholar.google.com/citations?user=x0O-6EQAAAAJ&amp;hl=en</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Bricolage and Its Limits: How Microenterprises Undertake Digitalization in Resource-Constrained Environments - IDEAS/RePEc, accessed May 17, 2026, </w:t>
      </w:r>
      <w:hyperlink r:id="rId31">
        <w:r w:rsidDel="00000000" w:rsidR="00000000" w:rsidRPr="00000000">
          <w:rPr>
            <w:rFonts w:ascii="Google Sans" w:cs="Google Sans" w:eastAsia="Google Sans" w:hAnsi="Google Sans"/>
            <w:color w:val="0000ee"/>
            <w:sz w:val="24"/>
            <w:szCs w:val="24"/>
            <w:u w:val="single"/>
            <w:rtl w:val="0"/>
          </w:rPr>
          <w:t xml:space="preserve">https://ideas.repec.org/a/inm/orisre/v37y2026i1p526-548.html</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Bricolage and Its Limits: How Microenterprises Undertake Digitalization in Resource-Constrained Environments | Information Systems Research - PubsOnLine, accessed May 17, 2026, </w:t>
      </w:r>
      <w:hyperlink r:id="rId32">
        <w:r w:rsidDel="00000000" w:rsidR="00000000" w:rsidRPr="00000000">
          <w:rPr>
            <w:rFonts w:ascii="Google Sans" w:cs="Google Sans" w:eastAsia="Google Sans" w:hAnsi="Google Sans"/>
            <w:color w:val="0000ee"/>
            <w:sz w:val="24"/>
            <w:szCs w:val="24"/>
            <w:u w:val="single"/>
            <w:rtl w:val="0"/>
          </w:rPr>
          <w:t xml:space="preserve">https://pubsonline.informs.org/doi/10.1287/isre.2023.0193</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Bricolage and Its Limits: How Microenterprises Undertake Digitalization in Resource-Constrained Environments | Information Systems Research - PubsOnLine, accessed May 17, 2026, </w:t>
      </w:r>
      <w:hyperlink r:id="rId33">
        <w:r w:rsidDel="00000000" w:rsidR="00000000" w:rsidRPr="00000000">
          <w:rPr>
            <w:rFonts w:ascii="Google Sans" w:cs="Google Sans" w:eastAsia="Google Sans" w:hAnsi="Google Sans"/>
            <w:color w:val="0000ee"/>
            <w:sz w:val="24"/>
            <w:szCs w:val="24"/>
            <w:u w:val="single"/>
            <w:rtl w:val="0"/>
          </w:rPr>
          <w:t xml:space="preserve">https://pubsonline.informs.org/doi/abs/10.1287/isre.2023.0193</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entrepreneurial marketing bricolage: shaping technology-in-practice | Request PDF, accessed May 17,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https://www.researchgate.net/publication/387525223_Digital_entrepreneurial_marketing_bricolage_shaping_technology-in-practice</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Bricolage and new venture performance: Conditions of digitalization, causation, and effectuation - ResearchGate, accessed May 17,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https://www.researchgate.net/publication/389909061_Bricolage_and_new_venture_performance_Conditions_of_digitalization_causation_and_effectuation</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Entrepreneurial Workaround Practices in Severe Institutional Voids: Evidence From Kenya | Request PDF - ResearchGate, accessed May 17,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https://www.researchgate.net/publication/341163686_Entrepreneurial_Workaround_Practices_in_Severe_Institutional_Voids_Evidence_From_Kenya</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Institutional Voids on Entrepreneurial Firm Growth: A Quantitative Research in Egypt - ResearchGate, accessed May 17,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https://www.researchgate.net/publication/396303976_The_Impact_of_Institutional_Voids_on_Entrepreneurial_Firm_Growth_A_Quantitative_Research_in_Egypt</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‪Gang Cao‬ - ‪Google 学术搜索‬, accessed May 17, 2026, </w:t>
      </w:r>
      <w:hyperlink r:id="rId38">
        <w:r w:rsidDel="00000000" w:rsidR="00000000" w:rsidRPr="00000000">
          <w:rPr>
            <w:rFonts w:ascii="Google Sans" w:cs="Google Sans" w:eastAsia="Google Sans" w:hAnsi="Google Sans"/>
            <w:color w:val="0000ee"/>
            <w:sz w:val="24"/>
            <w:szCs w:val="24"/>
            <w:u w:val="single"/>
            <w:rtl w:val="0"/>
          </w:rPr>
          <w:t xml:space="preserve">https://scholar.google.com/citations?user=gngjY4EAAAAJ&amp;hl=zh-CN</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 United States Department of State, accessed May 17, 2026, </w:t>
      </w:r>
      <w:hyperlink r:id="rId39">
        <w:r w:rsidDel="00000000" w:rsidR="00000000" w:rsidRPr="00000000">
          <w:rPr>
            <w:rFonts w:ascii="Google Sans" w:cs="Google Sans" w:eastAsia="Google Sans" w:hAnsi="Google Sans"/>
            <w:color w:val="0000ee"/>
            <w:sz w:val="24"/>
            <w:szCs w:val="24"/>
            <w:u w:val="single"/>
            <w:rtl w:val="0"/>
          </w:rPr>
          <w:t xml:space="preserve">https://2021-2025.state.gov/artificial-intelligence/</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Annual AI Governance Report 2025: Steering the Future of AI - ITU, accessed May 17, 2026, </w:t>
      </w:r>
      <w:hyperlink r:id="rId40">
        <w:r w:rsidDel="00000000" w:rsidR="00000000" w:rsidRPr="00000000">
          <w:rPr>
            <w:rFonts w:ascii="Google Sans" w:cs="Google Sans" w:eastAsia="Google Sans" w:hAnsi="Google Sans"/>
            <w:color w:val="0000ee"/>
            <w:sz w:val="24"/>
            <w:szCs w:val="24"/>
            <w:u w:val="single"/>
            <w:rtl w:val="0"/>
          </w:rPr>
          <w:t xml:space="preserve">https://www.itu.int/epublications/publication/the-annual-ai-governance-report-2025-steering-the-future-of-ai</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Ethics, and Responsible AI Frameworks: Principles, Challenges, and Emerging Practice - ResearchGate, accessed May 17,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https://www.researchgate.net/publication/404487527_AI_Governance_Ethics_and_Responsible_AI_Frameworks_Principles_Challenges_and_Emerging_Practice</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AI policy in 15 jurisdictions | Digital Watch Observatory, accessed May 17, 2026, </w:t>
      </w:r>
      <w:hyperlink r:id="rId42">
        <w:r w:rsidDel="00000000" w:rsidR="00000000" w:rsidRPr="00000000">
          <w:rPr>
            <w:rFonts w:ascii="Google Sans" w:cs="Google Sans" w:eastAsia="Google Sans" w:hAnsi="Google Sans"/>
            <w:color w:val="0000ee"/>
            <w:sz w:val="24"/>
            <w:szCs w:val="24"/>
            <w:u w:val="single"/>
            <w:rtl w:val="0"/>
          </w:rPr>
          <w:t xml:space="preserve">https://dig.watch/updates/overview-of-ai-policy-in-15-jurisdictions</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Humanity in the Loop: Strategic Frameworks for Responsible and Ethical AI Use - ScienceOpen, accessed May 17, 2026, </w:t>
      </w:r>
      <w:hyperlink r:id="rId43">
        <w:r w:rsidDel="00000000" w:rsidR="00000000" w:rsidRPr="00000000">
          <w:rPr>
            <w:rFonts w:ascii="Google Sans" w:cs="Google Sans" w:eastAsia="Google Sans" w:hAnsi="Google Sans"/>
            <w:color w:val="0000ee"/>
            <w:sz w:val="24"/>
            <w:szCs w:val="24"/>
            <w:u w:val="single"/>
            <w:rtl w:val="0"/>
          </w:rPr>
          <w:t xml:space="preserve">https://www.scienceopen.com/document_file/e9b0eec8-1c0f-4a81-bc9a-5faa85e0cb8d/ScienceOpen/Humanity%20in%20the%20Loop%20-%20Poster.pdf</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Ethical AI Governance: Ensuring Transparency and Accountability in Machine Learning - ResearchGate, accessed May 17,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https://www.researchgate.net/publication/390201361_Ethical_AI_Governance_Ensuring_Transparency_and_Accountability_in_Machine_Learning</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Responsible AI for AI Sustainable Future: Governance, Ethics, and The Reality Behind the Promise - ResearchGate, accessed May 17,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https://www.researchgate.net/publication/396657728_Responsible_AI_for_AI_Sustainable_Future_Governance_Ethics_and_The_Reality_Behind_the_Promise</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Responsible artificial intelligence governance: A review and research framework, accessed May 17,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https://www.researchgate.net/publication/387997470_Responsible_artificial_intelligence_governance_A_review_and_research_framework</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legitimises the AI algorithm? Leadership, volatility and the governance of algorithmic authority | Request PDF - ResearchGate, accessed May 17,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https://www.researchgate.net/publication/404415417_Who_legitimises_the_AI_algorithm_Leadership_volatility_and_the_governance_of_algorithmic_authority</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legitimacy gap of algorithmic decision-making in the public sector: Why it arises and how to address it | Request PDF - ResearchGate, accessed May 17,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https://www.researchgate.net/publication/353659964_The_legitimacy_gap_of_algorithmic_decision-making_in_the_public_sector_Why_it_arises_and_how_to_address_it</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Legitimacy practices, algorithms, and the new bureaucratic quantification - ResearchGate, accessed May 17,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https://www.researchgate.net/publication/403995731_Legitimacy_practices_algorithms_and_the_new_bureaucratic_quantification</w:t>
        </w:r>
      </w:hyperlink>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procedure‐based framework for multidimensional algorithmic... - ResearchGate, accessed May 17,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https://www.researchgate.net/figure/A-procedure-based-framework-for-multidimensional-algorithmic-accountability-policy_fig1_397060980</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Algorithmic Legitimacy and the Digital State: Rethinking Governance, Trust, and Accountability in the Age of AI - ResearchGate, accessed May 17,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https://www.researchgate.net/publication/399162692_Algorithmic_Legitimacy_and_the_Digital_State_Rethinking_Governance_Trust_and_Accountability_in_the_Age_of_AI</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Governing algorithmic decisions: The role of decision importance and governance on perceived legitimacy of algorithmic decisions - ResearchGate, accessed May 17,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https://www.researchgate.net/publication/361612839_Governing_algorithmic_decisions_The_role_of_decision_importance_and_governance_on_perceived_legitimacy_of_algorithmic_decisions</w:t>
        </w:r>
      </w:hyperlink>
      <w:r w:rsidDel="00000000" w:rsidR="00000000" w:rsidRPr="00000000">
        <w:rPr>
          <w:rtl w:val="0"/>
        </w:rPr>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curation, information security, and public trust on social platforms: Case studies of TikTok and YouTube - CEUR-WS.org, accessed May 17, 2026, </w:t>
      </w:r>
      <w:hyperlink r:id="rId53">
        <w:r w:rsidDel="00000000" w:rsidR="00000000" w:rsidRPr="00000000">
          <w:rPr>
            <w:rFonts w:ascii="Google Sans" w:cs="Google Sans" w:eastAsia="Google Sans" w:hAnsi="Google Sans"/>
            <w:color w:val="0000ee"/>
            <w:sz w:val="24"/>
            <w:szCs w:val="24"/>
            <w:u w:val="single"/>
            <w:rtl w:val="0"/>
          </w:rPr>
          <w:t xml:space="preserve">https://ceur-ws.org/Vol-4180/Paper9.pdf</w:t>
        </w:r>
      </w:hyperlink>
      <w:r w:rsidDel="00000000" w:rsidR="00000000" w:rsidRPr="00000000">
        <w:rPr>
          <w:rtl w:val="0"/>
        </w:rPr>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legitimacy of platform governance: A review of research and a shared research agenda - ResearchGate, accessed May 17,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https://www.researchgate.net/publication/323222556_Evaluating_the_legitimacy_of_platform_governance_A_review_of_research_and_a_shared_research_agenda</w:t>
        </w:r>
      </w:hyperlink>
      <w:r w:rsidDel="00000000" w:rsidR="00000000" w:rsidRPr="00000000">
        <w:rPr>
          <w:rtl w:val="0"/>
        </w:rPr>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‪Robyn Caplan‬ - ‪Google Scholar‬, accessed May 17, 2026, </w:t>
      </w:r>
      <w:hyperlink r:id="rId55">
        <w:r w:rsidDel="00000000" w:rsidR="00000000" w:rsidRPr="00000000">
          <w:rPr>
            <w:rFonts w:ascii="Google Sans" w:cs="Google Sans" w:eastAsia="Google Sans" w:hAnsi="Google Sans"/>
            <w:color w:val="0000ee"/>
            <w:sz w:val="24"/>
            <w:szCs w:val="24"/>
            <w:u w:val="single"/>
            <w:rtl w:val="0"/>
          </w:rPr>
          <w:t xml:space="preserve">https://scholar.google.com/citations?user=ScLMjuEAAAAJ&amp;hl=en</w:t>
        </w:r>
      </w:hyperlink>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Democratic Roadmap: Building Civic Resilience to the Global Digital Information Manipulation Challenge - State Department, accessed May 17, 2026, </w:t>
      </w:r>
      <w:hyperlink r:id="rId56">
        <w:r w:rsidDel="00000000" w:rsidR="00000000" w:rsidRPr="00000000">
          <w:rPr>
            <w:rFonts w:ascii="Google Sans" w:cs="Google Sans" w:eastAsia="Google Sans" w:hAnsi="Google Sans"/>
            <w:color w:val="0000ee"/>
            <w:sz w:val="24"/>
            <w:szCs w:val="24"/>
            <w:u w:val="single"/>
            <w:rtl w:val="0"/>
          </w:rPr>
          <w:t xml:space="preserve">https://2021-2025.state.gov/roadmap-info-integrity/</w:t>
        </w:r>
      </w:hyperlink>
      <w:r w:rsidDel="00000000" w:rsidR="00000000" w:rsidRPr="00000000">
        <w:rPr>
          <w:rtl w:val="0"/>
        </w:rPr>
      </w:r>
    </w:p>
    <w:p w:rsidR="00000000" w:rsidDel="00000000" w:rsidP="00000000" w:rsidRDefault="00000000" w:rsidRPr="00000000" w14:paraId="000001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Algorithmic Awareness and Digital Responsibility: The Role of Platform Trust and Digital Literacy - ResearchGate, accessed May 17,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https://www.researchgate.net/publication/404716517_Algorithmic_Awareness_and_Digital_Responsibility_The_Role_of_Platform_Trust_and_Digital_Literacy</w:t>
        </w:r>
      </w:hyperlink>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Governance, Institutional Distance, and Seller Trust in Cross-Border E-Commerce, accessed May 17,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https://www.researchgate.net/publication/388853228_Platform_Governance_Institutional_Distance_and_Seller_Trust_in_Cross-Border_E-Commerce</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Platform Rating System and Vulnerable Workers: Evidence from Field Experiments in Singapore | Organization Science - PubsOnLine, accessed May 17, 2026, </w:t>
      </w:r>
      <w:hyperlink r:id="rId59">
        <w:r w:rsidDel="00000000" w:rsidR="00000000" w:rsidRPr="00000000">
          <w:rPr>
            <w:rFonts w:ascii="Google Sans" w:cs="Google Sans" w:eastAsia="Google Sans" w:hAnsi="Google Sans"/>
            <w:color w:val="0000ee"/>
            <w:sz w:val="24"/>
            <w:szCs w:val="24"/>
            <w:u w:val="single"/>
            <w:rtl w:val="0"/>
          </w:rPr>
          <w:t xml:space="preserve">https://pubsonline.informs.org/doi/10.1287/orsc.2023.18153</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Capabilities: A Review and Research Agenda | Request PDF - ResearchGate, accessed May 17,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https://www.researchgate.net/publication/32116422_Dynamic_Capabilities_A_Review_and_Research_Agenda</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Artificial Intelligence on Innovation: An Exploratory Analysis - ResearchGate, accessed May 17,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https://www.researchgate.net/publication/365176813_The_Impact_of_Artificial_Intelligence_on_Innovation_An_Exploratory_Analysis</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Artificial Intelligence (GenAI) in entrepreneurial education and practice: emerging insights, the GAIN Framework, and research agenda | Request PDF - ResearchGate, accessed May 17,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https://www.researchgate.net/publication/390284644_Generative_Artificial_Intelligence_GenAI_in_entrepreneurial_education_and_practice_emerging_insights_the_GAIN_Framework_and_research_agenda</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 attitudes and use of artificial intelligence - KPMG International, accessed May 17, 2026, </w:t>
      </w:r>
      <w:hyperlink r:id="rId63">
        <w:r w:rsidDel="00000000" w:rsidR="00000000" w:rsidRPr="00000000">
          <w:rPr>
            <w:rFonts w:ascii="Google Sans" w:cs="Google Sans" w:eastAsia="Google Sans" w:hAnsi="Google Sans"/>
            <w:color w:val="0000ee"/>
            <w:sz w:val="24"/>
            <w:szCs w:val="24"/>
            <w:u w:val="single"/>
            <w:rtl w:val="0"/>
          </w:rPr>
          <w:t xml:space="preserve">https://assets.kpmg.com/content/dam/kpmgsites/ae/pdf/trust-attitudes-and-use-of-ai-global-report.pdf.coredownload.inline.pdf</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 attitudes and use of artificial intelligence: A global study 2025 - KPMG International, accessed May 17, 2026, </w:t>
      </w:r>
      <w:hyperlink r:id="rId64">
        <w:r w:rsidDel="00000000" w:rsidR="00000000" w:rsidRPr="00000000">
          <w:rPr>
            <w:rFonts w:ascii="Google Sans" w:cs="Google Sans" w:eastAsia="Google Sans" w:hAnsi="Google Sans"/>
            <w:color w:val="0000ee"/>
            <w:sz w:val="24"/>
            <w:szCs w:val="24"/>
            <w:u w:val="single"/>
            <w:rtl w:val="0"/>
          </w:rPr>
          <w:t xml:space="preserve">https://assets.kpmg.com/content/dam/kpmgsites/xx/pdf/2025/05/trust-attitudes-and-use-of-ai-global-report.pdf</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kind of cognitive tool: Generative AI and the future of critical and creative thinking in education - Western University Open Repository, accessed May 17, 2026, </w:t>
      </w:r>
      <w:hyperlink r:id="rId65">
        <w:r w:rsidDel="00000000" w:rsidR="00000000" w:rsidRPr="00000000">
          <w:rPr>
            <w:rFonts w:ascii="Google Sans" w:cs="Google Sans" w:eastAsia="Google Sans" w:hAnsi="Google Sans"/>
            <w:color w:val="0000ee"/>
            <w:sz w:val="24"/>
            <w:szCs w:val="24"/>
            <w:u w:val="single"/>
            <w:rtl w:val="0"/>
          </w:rPr>
          <w:t xml:space="preserve">https://uwo.scholaris.ca/bitstreams/15b7bb29-0a99-4d1f-bc8f-63945003bb11/download</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‪Anil Doshi‬ - ‪Google Scholar‬, accessed May 17, 2026, </w:t>
      </w:r>
      <w:hyperlink r:id="rId66">
        <w:r w:rsidDel="00000000" w:rsidR="00000000" w:rsidRPr="00000000">
          <w:rPr>
            <w:rFonts w:ascii="Google Sans" w:cs="Google Sans" w:eastAsia="Google Sans" w:hAnsi="Google Sans"/>
            <w:color w:val="0000ee"/>
            <w:sz w:val="24"/>
            <w:szCs w:val="24"/>
            <w:u w:val="single"/>
            <w:rtl w:val="0"/>
          </w:rPr>
          <w:t xml:space="preserve">https://scholar.google.com/citations?user=YVf-g-MAAAAJ&amp;hl=en</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AI Index Report | Stanford HAI, accessed May 17, 2026, </w:t>
      </w:r>
      <w:hyperlink r:id="rId67">
        <w:r w:rsidDel="00000000" w:rsidR="00000000" w:rsidRPr="00000000">
          <w:rPr>
            <w:rFonts w:ascii="Google Sans" w:cs="Google Sans" w:eastAsia="Google Sans" w:hAnsi="Google Sans"/>
            <w:color w:val="0000ee"/>
            <w:sz w:val="24"/>
            <w:szCs w:val="24"/>
            <w:u w:val="single"/>
            <w:rtl w:val="0"/>
          </w:rPr>
          <w:t xml:space="preserve">https://hai.stanford.edu/ai-index/2025-ai-index-report</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‪Fabrizio Dell'Acqua‬ - ‪Google Scholar‬, accessed May 17, 2026, </w:t>
      </w:r>
      <w:hyperlink r:id="rId68">
        <w:r w:rsidDel="00000000" w:rsidR="00000000" w:rsidRPr="00000000">
          <w:rPr>
            <w:rFonts w:ascii="Google Sans" w:cs="Google Sans" w:eastAsia="Google Sans" w:hAnsi="Google Sans"/>
            <w:color w:val="0000ee"/>
            <w:sz w:val="24"/>
            <w:szCs w:val="24"/>
            <w:u w:val="single"/>
            <w:rtl w:val="0"/>
          </w:rPr>
          <w:t xml:space="preserve">https://scholar.google.com/citations?user=vcJxyOkAAAAJ&amp;hl=en</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literacy, digital accessibility, human capital, and entrepreneurial resilience: a case for dynamic business ecosystems | Request PDF - ResearchGate, accessed May 17,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https://www.researchgate.net/publication/391363534_Digital_literacy_digital_accessibility_human_capital_and_entrepreneurial_resilience_a_case_for_dynamic_business_ecosystems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tu.int/epublications/publication/the-annual-ai-governance-report-2025-steering-the-future-of-ai" TargetMode="External"/><Relationship Id="rId42" Type="http://schemas.openxmlformats.org/officeDocument/2006/relationships/hyperlink" Target="https://dig.watch/updates/overview-of-ai-policy-in-15-jurisdictions" TargetMode="External"/><Relationship Id="rId41" Type="http://schemas.openxmlformats.org/officeDocument/2006/relationships/hyperlink" Target="https://www.researchgate.net/publication/404487527_AI_Governance_Ethics_and_Responsible_AI_Frameworks_Principles_Challenges_and_Emerging_Practice" TargetMode="External"/><Relationship Id="rId44" Type="http://schemas.openxmlformats.org/officeDocument/2006/relationships/hyperlink" Target="https://www.researchgate.net/publication/390201361_Ethical_AI_Governance_Ensuring_Transparency_and_Accountability_in_Machine_Learning" TargetMode="External"/><Relationship Id="rId43" Type="http://schemas.openxmlformats.org/officeDocument/2006/relationships/hyperlink" Target="https://www.scienceopen.com/document_file/e9b0eec8-1c0f-4a81-bc9a-5faa85e0cb8d/ScienceOpen/Humanity%20in%20the%20Loop%20-%20Poster.pdf" TargetMode="External"/><Relationship Id="rId46" Type="http://schemas.openxmlformats.org/officeDocument/2006/relationships/hyperlink" Target="https://www.researchgate.net/publication/387997470_Responsible_artificial_intelligence_governance_A_review_and_research_framework" TargetMode="External"/><Relationship Id="rId45" Type="http://schemas.openxmlformats.org/officeDocument/2006/relationships/hyperlink" Target="https://www.researchgate.net/publication/396657728_Responsible_AI_for_AI_Sustainable_Future_Governance_Ethics_and_The_Reality_Behind_the_Promi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researchgate.net/publication/353659964_The_legitimacy_gap_of_algorithmic_decision-making_in_the_public_sector_Why_it_arises_and_how_to_address_it" TargetMode="External"/><Relationship Id="rId47" Type="http://schemas.openxmlformats.org/officeDocument/2006/relationships/hyperlink" Target="https://www.researchgate.net/publication/404415417_Who_legitimises_the_AI_algorithm_Leadership_volatility_and_the_governance_of_algorithmic_authority" TargetMode="External"/><Relationship Id="rId49" Type="http://schemas.openxmlformats.org/officeDocument/2006/relationships/hyperlink" Target="https://www.researchgate.net/publication/403995731_Legitimacy_practices_algorithms_and_the_new_bureaucratic_quantifica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6.png"/><Relationship Id="rId31" Type="http://schemas.openxmlformats.org/officeDocument/2006/relationships/hyperlink" Target="https://ideas.repec.org/a/inm/orisre/v37y2026i1p526-548.html" TargetMode="External"/><Relationship Id="rId30" Type="http://schemas.openxmlformats.org/officeDocument/2006/relationships/hyperlink" Target="https://scholar.google.com/citations?user=x0O-6EQAAAAJ&amp;hl=en" TargetMode="External"/><Relationship Id="rId33" Type="http://schemas.openxmlformats.org/officeDocument/2006/relationships/hyperlink" Target="https://pubsonline.informs.org/doi/abs/10.1287/isre.2023.0193" TargetMode="External"/><Relationship Id="rId32" Type="http://schemas.openxmlformats.org/officeDocument/2006/relationships/hyperlink" Target="https://pubsonline.informs.org/doi/10.1287/isre.2023.0193" TargetMode="External"/><Relationship Id="rId35" Type="http://schemas.openxmlformats.org/officeDocument/2006/relationships/hyperlink" Target="https://www.researchgate.net/publication/389909061_Bricolage_and_new_venture_performance_Conditions_of_digitalization_causation_and_effectuation" TargetMode="External"/><Relationship Id="rId34" Type="http://schemas.openxmlformats.org/officeDocument/2006/relationships/hyperlink" Target="https://www.researchgate.net/publication/387525223_Digital_entrepreneurial_marketing_bricolage_shaping_technology-in-practice" TargetMode="External"/><Relationship Id="rId37" Type="http://schemas.openxmlformats.org/officeDocument/2006/relationships/hyperlink" Target="https://www.researchgate.net/publication/396303976_The_Impact_of_Institutional_Voids_on_Entrepreneurial_Firm_Growth_A_Quantitative_Research_in_Egypt" TargetMode="External"/><Relationship Id="rId36" Type="http://schemas.openxmlformats.org/officeDocument/2006/relationships/hyperlink" Target="https://www.researchgate.net/publication/341163686_Entrepreneurial_Workaround_Practices_in_Severe_Institutional_Voids_Evidence_From_Kenya" TargetMode="External"/><Relationship Id="rId39" Type="http://schemas.openxmlformats.org/officeDocument/2006/relationships/hyperlink" Target="https://2021-2025.state.gov/artificial-intelligence/" TargetMode="External"/><Relationship Id="rId38" Type="http://schemas.openxmlformats.org/officeDocument/2006/relationships/hyperlink" Target="https://scholar.google.com/citations?user=gngjY4EAAAAJ&amp;hl=zh-CN" TargetMode="External"/><Relationship Id="rId62" Type="http://schemas.openxmlformats.org/officeDocument/2006/relationships/hyperlink" Target="https://www.researchgate.net/publication/390284644_Generative_Artificial_Intelligence_GenAI_in_entrepreneurial_education_and_practice_emerging_insights_the_GAIN_Framework_and_research_agenda" TargetMode="External"/><Relationship Id="rId61" Type="http://schemas.openxmlformats.org/officeDocument/2006/relationships/hyperlink" Target="https://www.researchgate.net/publication/365176813_The_Impact_of_Artificial_Intelligence_on_Innovation_An_Exploratory_Analysis" TargetMode="External"/><Relationship Id="rId20" Type="http://schemas.openxmlformats.org/officeDocument/2006/relationships/hyperlink" Target="https://www.researchgate.net/publication/397236856_Shaping_Futures_Wisely_Integrating_Futures_Literacy_with_Entrepreneurship" TargetMode="External"/><Relationship Id="rId64" Type="http://schemas.openxmlformats.org/officeDocument/2006/relationships/hyperlink" Target="https://assets.kpmg.com/content/dam/kpmgsites/xx/pdf/2025/05/trust-attitudes-and-use-of-ai-global-report.pdf" TargetMode="External"/><Relationship Id="rId63" Type="http://schemas.openxmlformats.org/officeDocument/2006/relationships/hyperlink" Target="https://assets.kpmg.com/content/dam/kpmgsites/ae/pdf/trust-attitudes-and-use-of-ai-global-report.pdf.coredownload.inline.pdf" TargetMode="External"/><Relationship Id="rId22" Type="http://schemas.openxmlformats.org/officeDocument/2006/relationships/hyperlink" Target="https://openresearch-repository.anu.edu.au/server/api/core/bitstreams/a4b3d1ec-d0dc-48c8-b3f8-492d0ffc7fa3/content" TargetMode="External"/><Relationship Id="rId66" Type="http://schemas.openxmlformats.org/officeDocument/2006/relationships/hyperlink" Target="https://scholar.google.com/citations?user=YVf-g-MAAAAJ&amp;hl=en" TargetMode="External"/><Relationship Id="rId21" Type="http://schemas.openxmlformats.org/officeDocument/2006/relationships/hyperlink" Target="https://scholar.google.com/citations?user=IBo2UPYAAAAJ&amp;hl=en" TargetMode="External"/><Relationship Id="rId65" Type="http://schemas.openxmlformats.org/officeDocument/2006/relationships/hyperlink" Target="https://uwo.scholaris.ca/bitstreams/15b7bb29-0a99-4d1f-bc8f-63945003bb11/download" TargetMode="External"/><Relationship Id="rId24" Type="http://schemas.openxmlformats.org/officeDocument/2006/relationships/hyperlink" Target="https://www.researchgate.net/publication/228634731_Six_pillars_Futures_thinking_for_transforming" TargetMode="External"/><Relationship Id="rId68" Type="http://schemas.openxmlformats.org/officeDocument/2006/relationships/hyperlink" Target="https://scholar.google.com/citations?user=vcJxyOkAAAAJ&amp;hl=en" TargetMode="External"/><Relationship Id="rId23" Type="http://schemas.openxmlformats.org/officeDocument/2006/relationships/hyperlink" Target="https://publikaciotar.uni-bge.hu/id/eprint/2199/1/BGEkn2023_k%C3%B6tet_konferencia_2023_final%20edited.pdf" TargetMode="External"/><Relationship Id="rId67" Type="http://schemas.openxmlformats.org/officeDocument/2006/relationships/hyperlink" Target="https://hai.stanford.edu/ai-index/2025-ai-index-report" TargetMode="External"/><Relationship Id="rId60" Type="http://schemas.openxmlformats.org/officeDocument/2006/relationships/hyperlink" Target="https://www.researchgate.net/publication/32116422_Dynamic_Capabilities_A_Review_and_Research_Agenda" TargetMode="External"/><Relationship Id="rId26" Type="http://schemas.openxmlformats.org/officeDocument/2006/relationships/hyperlink" Target="https://www.researchgate.net/publication/398866104_From_Resource_Scarcity_to_Digital_Leverage_A_Framework_for_Sustainable_Technology_and_Circular-Economy-Oriented_Social_Entrepreneurship" TargetMode="External"/><Relationship Id="rId25" Type="http://schemas.openxmlformats.org/officeDocument/2006/relationships/hyperlink" Target="https://www.researchgate.net/publication/387715205_Foresight_Partnerships_and_Cross_Sector_Collective_Impact_Strategies_to_Build_A_Partnership_World" TargetMode="External"/><Relationship Id="rId69" Type="http://schemas.openxmlformats.org/officeDocument/2006/relationships/hyperlink" Target="https://www.researchgate.net/publication/391363534_Digital_literacy_digital_accessibility_human_capital_and_entrepreneurial_resilience_a_case_for_dynamic_business_ecosystems" TargetMode="External"/><Relationship Id="rId28" Type="http://schemas.openxmlformats.org/officeDocument/2006/relationships/hyperlink" Target="https://www.researchgate.net/publication/363745362_Impact_of_Entrepreneurial_Bricolage_on_Performance_of_E-Commerce_Case_Study_in_Jordan" TargetMode="External"/><Relationship Id="rId27" Type="http://schemas.openxmlformats.org/officeDocument/2006/relationships/hyperlink" Target="https://www.researchgate.net/publication/260123448_Bricolage_as_a_Path_to_Innovativeness_for_Resource-Constrained_New_Firms" TargetMode="External"/><Relationship Id="rId29" Type="http://schemas.openxmlformats.org/officeDocument/2006/relationships/hyperlink" Target="https://www.researchgate.net/publication/394392657_Digital_Bricolage_and_Its_Limits_How_Microenterprises_Undertake_Digitalization_in_Resource-Constrained_Environments/download" TargetMode="External"/><Relationship Id="rId51" Type="http://schemas.openxmlformats.org/officeDocument/2006/relationships/hyperlink" Target="https://www.researchgate.net/publication/399162692_Algorithmic_Legitimacy_and_the_Digital_State_Rethinking_Governance_Trust_and_Accountability_in_the_Age_of_AI" TargetMode="External"/><Relationship Id="rId50" Type="http://schemas.openxmlformats.org/officeDocument/2006/relationships/hyperlink" Target="https://www.researchgate.net/figure/A-procedure-based-framework-for-multidimensional-algorithmic-accountability-policy_fig1_397060980" TargetMode="External"/><Relationship Id="rId53" Type="http://schemas.openxmlformats.org/officeDocument/2006/relationships/hyperlink" Target="https://ceur-ws.org/Vol-4180/Paper9.pdf" TargetMode="External"/><Relationship Id="rId52" Type="http://schemas.openxmlformats.org/officeDocument/2006/relationships/hyperlink" Target="https://www.researchgate.net/publication/361612839_Governing_algorithmic_decisions_The_role_of_decision_importance_and_governance_on_perceived_legitimacy_of_algorithmic_decisions" TargetMode="External"/><Relationship Id="rId11" Type="http://schemas.openxmlformats.org/officeDocument/2006/relationships/image" Target="media/image3.png"/><Relationship Id="rId55" Type="http://schemas.openxmlformats.org/officeDocument/2006/relationships/hyperlink" Target="https://scholar.google.com/citations?user=ScLMjuEAAAAJ&amp;hl=en" TargetMode="External"/><Relationship Id="rId10" Type="http://schemas.openxmlformats.org/officeDocument/2006/relationships/image" Target="media/image1.png"/><Relationship Id="rId54" Type="http://schemas.openxmlformats.org/officeDocument/2006/relationships/hyperlink" Target="https://www.researchgate.net/publication/323222556_Evaluating_the_legitimacy_of_platform_governance_A_review_of_research_and_a_shared_research_agenda" TargetMode="External"/><Relationship Id="rId13" Type="http://schemas.openxmlformats.org/officeDocument/2006/relationships/image" Target="media/image7.png"/><Relationship Id="rId57" Type="http://schemas.openxmlformats.org/officeDocument/2006/relationships/hyperlink" Target="https://www.researchgate.net/publication/404716517_Algorithmic_Awareness_and_Digital_Responsibility_The_Role_of_Platform_Trust_and_Digital_Literacy" TargetMode="External"/><Relationship Id="rId12" Type="http://schemas.openxmlformats.org/officeDocument/2006/relationships/image" Target="media/image4.png"/><Relationship Id="rId56" Type="http://schemas.openxmlformats.org/officeDocument/2006/relationships/hyperlink" Target="https://2021-2025.state.gov/roadmap-info-integrity/" TargetMode="External"/><Relationship Id="rId15" Type="http://schemas.openxmlformats.org/officeDocument/2006/relationships/hyperlink" Target="https://www.researchgate.net/publication/400578867_Entrepreneurial_Bricolage_in_the_Face_of_Institutional_Voids_The_Case_of_Moroccan_Startups" TargetMode="External"/><Relationship Id="rId59" Type="http://schemas.openxmlformats.org/officeDocument/2006/relationships/hyperlink" Target="https://pubsonline.informs.org/doi/10.1287/orsc.2023.18153" TargetMode="External"/><Relationship Id="rId14" Type="http://schemas.openxmlformats.org/officeDocument/2006/relationships/hyperlink" Target="https://www.researchgate.net/publication/337664386_Six_foresight_frames_Classifying_policy_foresight_processes_in_foresight_systems_according_to_perceived_unpredictability_and_pursued_change" TargetMode="External"/><Relationship Id="rId58" Type="http://schemas.openxmlformats.org/officeDocument/2006/relationships/hyperlink" Target="https://www.researchgate.net/publication/388853228_Platform_Governance_Institutional_Distance_and_Seller_Trust_in_Cross-Border_E-Commerce" TargetMode="External"/><Relationship Id="rId17" Type="http://schemas.openxmlformats.org/officeDocument/2006/relationships/hyperlink" Target="https://www.researchgate.net/publication/349166713_Individual_futures_consciousness_Psychology_behind_the_five-dimensional_Futures_Consciousness_scale" TargetMode="External"/><Relationship Id="rId16" Type="http://schemas.openxmlformats.org/officeDocument/2006/relationships/hyperlink" Target="https://www.emerald.com/md/article/59/3/638/286410/Cognitive-biases-and-decision-making-strategies-in" TargetMode="External"/><Relationship Id="rId19" Type="http://schemas.openxmlformats.org/officeDocument/2006/relationships/hyperlink" Target="https://www.researchgate.net/publication/310754429_Future_Consciousness_The_Path_to_Purposeful_Evolution--An_Introduction" TargetMode="External"/><Relationship Id="rId18" Type="http://schemas.openxmlformats.org/officeDocument/2006/relationships/hyperlink" Target="https://www.researchgate.net/publication/386097637_Entrepreneurial_bricolage_and_disruptive_innovation_The_joint_effect_of_learning_from_failure_and_institutional_voi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