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1C" w:rsidRDefault="00C64B1C" w:rsidP="00C64B1C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Nikon </w:t>
      </w:r>
      <w:bookmarkStart w:id="0" w:name="_GoBack"/>
      <w:bookmarkEnd w:id="0"/>
      <w:proofErr w:type="spellStart"/>
      <w:r w:rsidRPr="00EE4598">
        <w:rPr>
          <w:rFonts w:eastAsia="Times New Roman" w:cs="Segoe UI"/>
          <w:sz w:val="40"/>
          <w:szCs w:val="40"/>
        </w:rPr>
        <w:t>CoolPix</w:t>
      </w:r>
      <w:proofErr w:type="spellEnd"/>
      <w:r w:rsidRPr="00EE4598">
        <w:rPr>
          <w:rFonts w:eastAsia="Times New Roman" w:cs="Segoe UI"/>
          <w:sz w:val="40"/>
          <w:szCs w:val="40"/>
        </w:rPr>
        <w:t xml:space="preserve"> P610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Effective Pixels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16.0</w:t>
      </w:r>
      <w:r>
        <w:rPr>
          <w:rStyle w:val="apple-converted-space"/>
        </w:rPr>
        <w:t> </w:t>
      </w:r>
      <w:r>
        <w:rPr>
          <w:rStyle w:val="suffix"/>
        </w:rPr>
        <w:t>million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Sensor Size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1</w:t>
      </w:r>
      <w:r>
        <w:rPr>
          <w:rStyle w:val="suffix"/>
        </w:rPr>
        <w:t>/</w:t>
      </w:r>
      <w:r>
        <w:rPr>
          <w:rStyle w:val="value"/>
        </w:rPr>
        <w:t>2.3</w:t>
      </w:r>
      <w:r>
        <w:rPr>
          <w:rStyle w:val="apple-converted-space"/>
        </w:rPr>
        <w:t> </w:t>
      </w:r>
      <w:r>
        <w:rPr>
          <w:rStyle w:val="suffix"/>
        </w:rPr>
        <w:t>in.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Monitor Size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3.0</w:t>
      </w:r>
      <w:r>
        <w:rPr>
          <w:rStyle w:val="apple-converted-space"/>
        </w:rPr>
        <w:t> </w:t>
      </w:r>
      <w:r>
        <w:rPr>
          <w:rStyle w:val="suffix"/>
        </w:rPr>
        <w:t>in. diagonal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Monitor Type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TFT-LCD</w:t>
      </w:r>
      <w:r>
        <w:rPr>
          <w:rStyle w:val="apple-converted-space"/>
        </w:rPr>
        <w:t> </w:t>
      </w:r>
      <w:r>
        <w:rPr>
          <w:rStyle w:val="prefix"/>
        </w:rPr>
        <w:t>with</w:t>
      </w:r>
      <w:r>
        <w:rPr>
          <w:rStyle w:val="apple-converted-space"/>
        </w:rPr>
        <w:t> </w:t>
      </w:r>
      <w:r>
        <w:rPr>
          <w:rStyle w:val="value"/>
        </w:rPr>
        <w:t>Anti-reflection coating</w:t>
      </w:r>
      <w:r>
        <w:br/>
      </w:r>
      <w:r>
        <w:rPr>
          <w:rStyle w:val="value"/>
        </w:rPr>
        <w:t>6-level brightness adjustment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Storage Media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SD memory card</w:t>
      </w:r>
      <w:r>
        <w:br/>
      </w:r>
      <w:r>
        <w:rPr>
          <w:rStyle w:val="value"/>
        </w:rPr>
        <w:t>SDHC memory card</w:t>
      </w:r>
      <w:r>
        <w:br/>
      </w:r>
      <w:r>
        <w:rPr>
          <w:rStyle w:val="value"/>
        </w:rPr>
        <w:t>SDXC memory card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Movie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Full HD: 1920x1080/ 60p</w:t>
      </w:r>
      <w:r>
        <w:br/>
      </w:r>
      <w:r>
        <w:rPr>
          <w:rStyle w:val="value"/>
        </w:rPr>
        <w:t>Full HD: 1920x1080/ 50p</w:t>
      </w:r>
      <w:r>
        <w:br/>
      </w:r>
      <w:r>
        <w:rPr>
          <w:rStyle w:val="value"/>
        </w:rPr>
        <w:t>Full HD: 1920x1080/ 30p</w:t>
      </w:r>
      <w:r>
        <w:br/>
      </w:r>
      <w:r>
        <w:rPr>
          <w:rStyle w:val="value"/>
        </w:rPr>
        <w:t>Full HD: 1920x1080/ 25p</w:t>
      </w:r>
      <w:r>
        <w:br/>
      </w:r>
      <w:r>
        <w:rPr>
          <w:rStyle w:val="value"/>
        </w:rPr>
        <w:t>HD: 1280x720/ 60p</w:t>
      </w:r>
      <w:r>
        <w:br/>
      </w:r>
      <w:r>
        <w:rPr>
          <w:rStyle w:val="value"/>
        </w:rPr>
        <w:t>HD: 1280x720/ 50p</w:t>
      </w:r>
      <w:r>
        <w:br/>
      </w:r>
      <w:r>
        <w:rPr>
          <w:rStyle w:val="value"/>
        </w:rPr>
        <w:t>HD: 1280x720/ 30p</w:t>
      </w:r>
      <w:r>
        <w:br/>
      </w:r>
      <w:r>
        <w:rPr>
          <w:rStyle w:val="value"/>
        </w:rPr>
        <w:t>HD: 1280x720/ 25p</w:t>
      </w:r>
      <w:r>
        <w:br/>
      </w:r>
      <w:r>
        <w:rPr>
          <w:rStyle w:val="value"/>
        </w:rPr>
        <w:t>HS 1920x1080/ 15p</w:t>
      </w:r>
      <w:r>
        <w:br/>
      </w:r>
      <w:r>
        <w:rPr>
          <w:rStyle w:val="value"/>
        </w:rPr>
        <w:t>HS 1280x720/ 50p</w:t>
      </w:r>
      <w:r>
        <w:br/>
      </w:r>
      <w:r>
        <w:rPr>
          <w:rStyle w:val="value"/>
        </w:rPr>
        <w:t>HS 1280x720/ 60p</w:t>
      </w:r>
      <w:r>
        <w:br/>
      </w:r>
      <w:r>
        <w:rPr>
          <w:rStyle w:val="value"/>
        </w:rPr>
        <w:t>HS 1920x1080/ 12.5p</w:t>
      </w:r>
      <w:r>
        <w:br/>
      </w:r>
      <w:r>
        <w:rPr>
          <w:rStyle w:val="value"/>
        </w:rPr>
        <w:t>HS 640x480/ 100p</w:t>
      </w:r>
      <w:r>
        <w:br/>
      </w:r>
      <w:r>
        <w:rPr>
          <w:rStyle w:val="value"/>
        </w:rPr>
        <w:t>VGA 640x480/ 30p</w:t>
      </w:r>
      <w:r>
        <w:br/>
      </w:r>
      <w:r>
        <w:rPr>
          <w:rStyle w:val="value"/>
        </w:rPr>
        <w:t>VGA 640x480/ 25p</w:t>
      </w:r>
      <w:r>
        <w:br/>
      </w:r>
      <w:r>
        <w:rPr>
          <w:rStyle w:val="value"/>
        </w:rPr>
        <w:t>HS 640x480/ 120p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ISO Sensitivity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prefix"/>
        </w:rPr>
        <w:t>ISO</w:t>
      </w:r>
      <w:r>
        <w:rPr>
          <w:rStyle w:val="apple-converted-space"/>
        </w:rPr>
        <w:t> </w:t>
      </w:r>
      <w:r>
        <w:rPr>
          <w:rStyle w:val="value"/>
        </w:rPr>
        <w:t>100</w:t>
      </w:r>
      <w:r>
        <w:rPr>
          <w:rStyle w:val="prefix"/>
        </w:rPr>
        <w:t>-</w:t>
      </w:r>
      <w:r>
        <w:rPr>
          <w:rStyle w:val="value"/>
        </w:rPr>
        <w:t>1600</w:t>
      </w:r>
      <w:r>
        <w:br/>
      </w:r>
      <w:r>
        <w:rPr>
          <w:rStyle w:val="value"/>
        </w:rPr>
        <w:t>ISO 3200, 6400 (available when using P, S, A or M mode</w:t>
      </w:r>
      <w:proofErr w:type="gramStart"/>
      <w:r>
        <w:rPr>
          <w:rStyle w:val="value"/>
        </w:rPr>
        <w:t>)</w:t>
      </w:r>
      <w:proofErr w:type="gramEnd"/>
      <w:r>
        <w:br/>
      </w:r>
      <w:r>
        <w:rPr>
          <w:rStyle w:val="value"/>
        </w:rPr>
        <w:t>ISO Hi 1 (equivalent to ISO 12,800) (available when using High ISO monochrome in special effects mode)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Top Continuous Shooting Speed at full resolution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prefix"/>
        </w:rPr>
        <w:t>Up to</w:t>
      </w:r>
      <w:r>
        <w:rPr>
          <w:rStyle w:val="apple-converted-space"/>
        </w:rPr>
        <w:t> </w:t>
      </w:r>
      <w:r>
        <w:rPr>
          <w:rStyle w:val="value"/>
        </w:rPr>
        <w:t>7</w:t>
      </w:r>
      <w:r>
        <w:rPr>
          <w:rStyle w:val="apple-converted-space"/>
        </w:rPr>
        <w:t> </w:t>
      </w:r>
      <w:r>
        <w:rPr>
          <w:rStyle w:val="suffix"/>
        </w:rPr>
        <w:t>shots at</w:t>
      </w:r>
      <w:r>
        <w:rPr>
          <w:rStyle w:val="apple-converted-space"/>
        </w:rPr>
        <w:t> </w:t>
      </w:r>
      <w:r>
        <w:rPr>
          <w:rStyle w:val="prefix"/>
        </w:rPr>
        <w:t>approx.</w:t>
      </w:r>
      <w:r>
        <w:rPr>
          <w:rStyle w:val="apple-converted-space"/>
        </w:rPr>
        <w:t> </w:t>
      </w:r>
      <w:r>
        <w:rPr>
          <w:rStyle w:val="value"/>
        </w:rPr>
        <w:t>7</w:t>
      </w:r>
      <w:r>
        <w:rPr>
          <w:rStyle w:val="suffix"/>
        </w:rPr>
        <w:t>frames per second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Battery / Batteries</w:t>
      </w:r>
    </w:p>
    <w:p w:rsidR="00C64B1C" w:rsidRDefault="00C64B1C" w:rsidP="00C64B1C">
      <w:pPr>
        <w:rPr>
          <w:sz w:val="24"/>
          <w:szCs w:val="24"/>
        </w:rPr>
      </w:pPr>
      <w:r>
        <w:rPr>
          <w:rStyle w:val="value"/>
        </w:rPr>
        <w:t>Rechargeable Li-ion Battery EN-EL23</w:t>
      </w:r>
    </w:p>
    <w:p w:rsidR="00C64B1C" w:rsidRDefault="00C64B1C" w:rsidP="00C64B1C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Dimensions (Width x Height x Depth)</w:t>
      </w:r>
    </w:p>
    <w:p w:rsidR="00C64B1C" w:rsidRDefault="00C64B1C" w:rsidP="00C64B1C">
      <w:pPr>
        <w:spacing w:after="0" w:line="270" w:lineRule="atLeast"/>
        <w:textAlignment w:val="top"/>
        <w:rPr>
          <w:rStyle w:val="Emphasis"/>
        </w:rPr>
      </w:pPr>
      <w:r>
        <w:rPr>
          <w:rStyle w:val="value"/>
        </w:rPr>
        <w:t>5.0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125.0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3.4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85.0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4.2</w:t>
      </w:r>
      <w:r>
        <w:rPr>
          <w:rStyle w:val="apple-converted-space"/>
        </w:rPr>
        <w:t> </w:t>
      </w:r>
      <w:r>
        <w:rPr>
          <w:rStyle w:val="suffix"/>
        </w:rPr>
        <w:t>in</w:t>
      </w:r>
      <w:proofErr w:type="gramStart"/>
      <w:r>
        <w:rPr>
          <w:rStyle w:val="suffix"/>
        </w:rPr>
        <w:t>.</w:t>
      </w:r>
      <w:r>
        <w:rPr>
          <w:rStyle w:val="spec-braces"/>
        </w:rPr>
        <w:t>(</w:t>
      </w:r>
      <w:proofErr w:type="gramEnd"/>
      <w:r>
        <w:rPr>
          <w:rStyle w:val="value"/>
        </w:rPr>
        <w:t>106.5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Emphasis"/>
        </w:rPr>
        <w:t>excluding projections</w:t>
      </w:r>
    </w:p>
    <w:p w:rsidR="00C64B1C" w:rsidRDefault="00C64B1C" w:rsidP="00C64B1C">
      <w:pPr>
        <w:spacing w:after="0" w:line="270" w:lineRule="atLeast"/>
        <w:textAlignment w:val="top"/>
        <w:rPr>
          <w:rStyle w:val="Emphasis"/>
        </w:rPr>
      </w:pPr>
    </w:p>
    <w:p w:rsidR="005542C1" w:rsidRPr="00C64B1C" w:rsidRDefault="00C64B1C" w:rsidP="00C64B1C"/>
    <w:sectPr w:rsidR="005542C1" w:rsidRPr="00C64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49C"/>
    <w:multiLevelType w:val="multilevel"/>
    <w:tmpl w:val="AF8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560"/>
    <w:multiLevelType w:val="multilevel"/>
    <w:tmpl w:val="78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286A"/>
    <w:multiLevelType w:val="multilevel"/>
    <w:tmpl w:val="553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1867"/>
    <w:multiLevelType w:val="multilevel"/>
    <w:tmpl w:val="9DB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241DE"/>
    <w:multiLevelType w:val="multilevel"/>
    <w:tmpl w:val="56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063F3"/>
    <w:multiLevelType w:val="multilevel"/>
    <w:tmpl w:val="7FB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F78A0"/>
    <w:multiLevelType w:val="multilevel"/>
    <w:tmpl w:val="B1B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C1587"/>
    <w:multiLevelType w:val="multilevel"/>
    <w:tmpl w:val="FF6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01AB5"/>
    <w:multiLevelType w:val="multilevel"/>
    <w:tmpl w:val="991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74217"/>
    <w:multiLevelType w:val="multilevel"/>
    <w:tmpl w:val="5B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A006F"/>
    <w:multiLevelType w:val="multilevel"/>
    <w:tmpl w:val="C08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23DC0"/>
    <w:multiLevelType w:val="multilevel"/>
    <w:tmpl w:val="4E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26F54"/>
    <w:multiLevelType w:val="multilevel"/>
    <w:tmpl w:val="6DD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D20EA1"/>
    <w:multiLevelType w:val="multilevel"/>
    <w:tmpl w:val="F4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1438D"/>
    <w:multiLevelType w:val="multilevel"/>
    <w:tmpl w:val="98D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75BCE"/>
    <w:multiLevelType w:val="multilevel"/>
    <w:tmpl w:val="91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8"/>
  </w:num>
  <w:num w:numId="5">
    <w:abstractNumId w:val="21"/>
  </w:num>
  <w:num w:numId="6">
    <w:abstractNumId w:val="23"/>
  </w:num>
  <w:num w:numId="7">
    <w:abstractNumId w:val="11"/>
  </w:num>
  <w:num w:numId="8">
    <w:abstractNumId w:val="20"/>
  </w:num>
  <w:num w:numId="9">
    <w:abstractNumId w:val="30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10"/>
  </w:num>
  <w:num w:numId="15">
    <w:abstractNumId w:val="27"/>
  </w:num>
  <w:num w:numId="16">
    <w:abstractNumId w:val="7"/>
  </w:num>
  <w:num w:numId="17">
    <w:abstractNumId w:val="15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"/>
  </w:num>
  <w:num w:numId="23">
    <w:abstractNumId w:val="19"/>
  </w:num>
  <w:num w:numId="24">
    <w:abstractNumId w:val="6"/>
  </w:num>
  <w:num w:numId="25">
    <w:abstractNumId w:val="25"/>
  </w:num>
  <w:num w:numId="26">
    <w:abstractNumId w:val="14"/>
  </w:num>
  <w:num w:numId="27">
    <w:abstractNumId w:val="0"/>
  </w:num>
  <w:num w:numId="28">
    <w:abstractNumId w:val="13"/>
  </w:num>
  <w:num w:numId="29">
    <w:abstractNumId w:val="29"/>
  </w:num>
  <w:num w:numId="30">
    <w:abstractNumId w:val="1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2B630F"/>
    <w:rsid w:val="00934B8D"/>
    <w:rsid w:val="009C63EB"/>
    <w:rsid w:val="00C64B1C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B1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63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64B1C"/>
  </w:style>
  <w:style w:type="character" w:customStyle="1" w:styleId="value">
    <w:name w:val="value"/>
    <w:basedOn w:val="DefaultParagraphFont"/>
    <w:rsid w:val="00C64B1C"/>
  </w:style>
  <w:style w:type="character" w:customStyle="1" w:styleId="suffix">
    <w:name w:val="suffix"/>
    <w:basedOn w:val="DefaultParagraphFont"/>
    <w:rsid w:val="00C64B1C"/>
  </w:style>
  <w:style w:type="character" w:styleId="Emphasis">
    <w:name w:val="Emphasis"/>
    <w:basedOn w:val="DefaultParagraphFont"/>
    <w:uiPriority w:val="20"/>
    <w:qFormat/>
    <w:rsid w:val="00C64B1C"/>
    <w:rPr>
      <w:i/>
      <w:iCs/>
    </w:rPr>
  </w:style>
  <w:style w:type="character" w:customStyle="1" w:styleId="prefix">
    <w:name w:val="prefix"/>
    <w:basedOn w:val="DefaultParagraphFont"/>
    <w:rsid w:val="00C64B1C"/>
  </w:style>
  <w:style w:type="character" w:customStyle="1" w:styleId="spec-braces">
    <w:name w:val="spec-braces"/>
    <w:basedOn w:val="DefaultParagraphFont"/>
    <w:rsid w:val="00C6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2015-02-27T11:58:00Z</dcterms:created>
  <dcterms:modified xsi:type="dcterms:W3CDTF">2015-02-27T11:58:00Z</dcterms:modified>
</cp:coreProperties>
</file>