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o84pwlnmwfe8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SECTION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hndsfymyi9a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Our Projects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Introducing a New Model for Living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work goes beyond design — it’s about reimagining what a home can feel like. Each project is shaped by a philosophy rooted in simplicity, natural flow, and emotional connection. We build spaces that restore, calm, and support the real lives of the people inside them.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more than that, our goal is to expand a model of living that’s regenerative, timeless, and deeply human. This is slow architecture — built with care, not convention.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hg5a8dfjdods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SECTION 2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80wwxr9nck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h4qpleyjoiq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The Quarry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The Quarry – Where Architecture Meets Regeneration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14–20% Fixed Return | Passivhaus-Standard | Designed to Endure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in the Lancashire hills, The Quarry transforms a disused industrial site into a 3,300 sq ft home that marries quiet luxury with environmental leadership. Built to Passivhaus standards, it offers peak energy efficiency, beauty, and long-term performance.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Rooted in Christopher’s aesthetic and philosophical influences — from Wabi-Sabi to biophilia — the design brings nature inward and emotion to the forefront. Light, material, and movement are all treated as collaborators, not afterthoughts.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line is drawn with intention. Local stone, minimal interventions, and breathable textures make the home feel like it’s always belonged.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investment, The Quarry offers a fixed return of </w:t>
      </w:r>
      <w:r w:rsidDel="00000000" w:rsidR="00000000" w:rsidRPr="00000000">
        <w:rPr>
          <w:b w:val="1"/>
          <w:rtl w:val="0"/>
        </w:rPr>
        <w:t xml:space="preserve">14–20% annually</w:t>
      </w:r>
      <w:r w:rsidDel="00000000" w:rsidR="00000000" w:rsidRPr="00000000">
        <w:rPr>
          <w:rtl w:val="0"/>
        </w:rPr>
        <w:t xml:space="preserve">, with capital protected via a ring-fenced SPV and detailed development guarantees. Investors are not just backing a build — they’re aligning with a new, grounded vision of sustainable living.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a home that feels like a turning point — for design, for lifestyle, and for what comes next.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