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ind w:right="146" w:hanging="0"/>
        <w:rPr>
          <w:sz w:val="36"/>
        </w:rPr>
      </w:pPr>
      <w:r>
        <w:rPr>
          <w:rFonts w:eastAsia="Calibri" w:cs="Calibri"/>
          <w:sz w:val="36"/>
        </w:rPr>
        <w:t xml:space="preserve">                                                                                           </w:t>
      </w:r>
    </w:p>
    <w:p>
      <w:pPr>
        <w:pStyle w:val="Heading"/>
        <w:tabs>
          <w:tab w:val="clear" w:pos="720"/>
          <w:tab w:val="left" w:pos="1386" w:leader="none"/>
        </w:tabs>
        <w:jc w:val="left"/>
        <w:rPr/>
      </w:pPr>
      <w:r>
        <w:rPr/>
        <w:tab/>
      </w:r>
    </w:p>
    <w:p>
      <w:pPr>
        <w:pStyle w:val="Heading"/>
        <w:tabs>
          <w:tab w:val="clear" w:pos="720"/>
          <w:tab w:val="left" w:pos="9401" w:leader="none"/>
        </w:tabs>
        <w:jc w:val="left"/>
        <w:rPr/>
      </w:pPr>
      <w:r>
        <w:rPr/>
        <w:tab/>
      </w:r>
    </w:p>
    <w:p>
      <w:pPr>
        <w:pStyle w:val="Heading"/>
        <w:rPr>
          <w:color w:val="0070C0"/>
        </w:rPr>
      </w:pPr>
      <w:r>
        <w:rPr>
          <w:color w:val="0070C0"/>
        </w:rPr>
      </w:r>
    </w:p>
    <w:p>
      <w:pPr>
        <w:pStyle w:val="Heading"/>
        <w:tabs>
          <w:tab w:val="clear" w:pos="720"/>
          <w:tab w:val="right" w:pos="-3402" w:leader="none"/>
        </w:tabs>
        <w:rPr/>
      </w:pPr>
      <w:r>
        <w:rPr/>
        <w:tab/>
        <w:tab/>
        <w:t>EMVS Hardware and Standard Software Record</w:t>
      </w:r>
    </w:p>
    <w:p>
      <w:pPr>
        <w:pStyle w:val="Heading"/>
        <w:ind w:left="-142" w:hanging="0"/>
        <w:rPr>
          <w:color w:val="000000"/>
        </w:rPr>
      </w:pPr>
      <w:r>
        <w:rPr>
          <w:color w:val="000000"/>
        </w:rPr>
        <w:t>National Blueprint System</w:t>
      </w:r>
    </w:p>
    <w:p>
      <w:pPr>
        <w:pStyle w:val="Heading"/>
        <w:ind w:left="-142" w:hanging="0"/>
        <w:rPr>
          <w:color w:val="000000"/>
        </w:rPr>
      </w:pPr>
      <w:r>
        <w:rPr>
          <w:color w:val="000000"/>
        </w:rPr>
        <w:t xml:space="preserve">Production (PRD-IQE) - Bulgaria </w:t>
      </w:r>
    </w:p>
    <w:p>
      <w:pPr>
        <w:pStyle w:val="Heading"/>
        <w:ind w:left="-142" w:hanging="0"/>
        <w:rPr/>
      </w:pPr>
      <w:r>
        <w:rPr>
          <w:color w:val="000000"/>
        </w:rPr>
        <w:t>(Release 6.2)</w:t>
      </w:r>
      <w:r>
        <w:br w:type="page"/>
      </w:r>
    </w:p>
    <w:p>
      <w:pPr>
        <w:pStyle w:val="Normal"/>
        <w:jc w:val="center"/>
        <w:rPr/>
      </w:pPr>
      <w:r>
        <w:rPr/>
        <w:t>Table of Contents</w:t>
      </w:r>
    </w:p>
    <w:sdt>
      <w:sdtPr>
        <w:docPartObj>
          <w:docPartGallery w:val="Table of Contents"/>
          <w:docPartUnique w:val="true"/>
        </w:docPartObj>
      </w:sdtPr>
      <w:sdtContent>
        <w:p>
          <w:pPr>
            <w:pStyle w:val="Contents1"/>
            <w:tabs>
              <w:tab w:val="clear" w:pos="720"/>
              <w:tab w:val="right" w:pos="13892" w:leader="dot"/>
            </w:tabs>
            <w:rPr>
              <w:bCs w:val="false"/>
              <w:szCs w:val="22"/>
              <w:lang w:val="en-US" w:eastAsia="en-US"/>
            </w:rPr>
          </w:pPr>
          <w:r>
            <w:fldChar w:fldCharType="begin"/>
          </w:r>
          <w:r>
            <w:rPr>
              <w:rStyle w:val="IndexLink"/>
            </w:rPr>
            <w:instrText> TOC \o "1-3" \h \z \u </w:instrText>
          </w:r>
          <w:r>
            <w:rPr>
              <w:rStyle w:val="IndexLink"/>
            </w:rPr>
            <w:fldChar w:fldCharType="separate"/>
          </w:r>
          <w:hyperlink w:anchor="__RefHeading___Toc21099735">
            <w:r>
              <w:rPr>
                <w:rStyle w:val="IndexLink"/>
              </w:rPr>
              <w:t>1.</w:t>
            </w:r>
            <w:r>
              <w:rPr>
                <w:rStyle w:val="IndexLink"/>
                <w:bCs w:val="false"/>
                <w:szCs w:val="22"/>
                <w:lang w:val="en-US" w:eastAsia="en-US"/>
              </w:rPr>
              <w:tab/>
            </w:r>
            <w:r>
              <w:rPr>
                <w:rStyle w:val="IndexLink"/>
              </w:rPr>
              <w:t>Purpose</w:t>
              <w:tab/>
              <w:t>3</w:t>
            </w:r>
          </w:hyperlink>
        </w:p>
        <w:p>
          <w:pPr>
            <w:pStyle w:val="Contents1"/>
            <w:tabs>
              <w:tab w:val="clear" w:pos="720"/>
              <w:tab w:val="right" w:pos="13892" w:leader="dot"/>
            </w:tabs>
            <w:rPr>
              <w:bCs w:val="false"/>
              <w:szCs w:val="22"/>
              <w:lang w:val="en-US" w:eastAsia="en-US"/>
            </w:rPr>
          </w:pPr>
          <w:hyperlink w:anchor="__RefHeading___Toc21099736">
            <w:r>
              <w:rPr>
                <w:rStyle w:val="IndexLink"/>
              </w:rPr>
              <w:t>2.</w:t>
            </w:r>
            <w:r>
              <w:rPr>
                <w:rStyle w:val="IndexLink"/>
                <w:bCs w:val="false"/>
                <w:szCs w:val="22"/>
                <w:lang w:val="en-US" w:eastAsia="en-US"/>
              </w:rPr>
              <w:tab/>
            </w:r>
            <w:r>
              <w:rPr>
                <w:rStyle w:val="IndexLink"/>
              </w:rPr>
              <w:t>Scope</w:t>
              <w:tab/>
              <w:t>3</w:t>
            </w:r>
          </w:hyperlink>
        </w:p>
        <w:p>
          <w:pPr>
            <w:pStyle w:val="Contents1"/>
            <w:tabs>
              <w:tab w:val="clear" w:pos="720"/>
              <w:tab w:val="right" w:pos="13892" w:leader="dot"/>
            </w:tabs>
            <w:rPr>
              <w:bCs w:val="false"/>
              <w:szCs w:val="22"/>
              <w:lang w:val="en-US" w:eastAsia="en-US"/>
            </w:rPr>
          </w:pPr>
          <w:hyperlink w:anchor="__RefHeading___Toc21099737">
            <w:r>
              <w:rPr>
                <w:rStyle w:val="IndexLink"/>
              </w:rPr>
              <w:t>3.</w:t>
            </w:r>
            <w:r>
              <w:rPr>
                <w:rStyle w:val="IndexLink"/>
                <w:bCs w:val="false"/>
                <w:szCs w:val="22"/>
                <w:lang w:val="en-US" w:eastAsia="en-US"/>
              </w:rPr>
              <w:tab/>
            </w:r>
            <w:r>
              <w:rPr>
                <w:rStyle w:val="IndexLink"/>
              </w:rPr>
              <w:t>Configuration and Verification</w:t>
              <w:tab/>
              <w:t>3</w:t>
            </w:r>
          </w:hyperlink>
        </w:p>
        <w:p>
          <w:pPr>
            <w:pStyle w:val="Contents2"/>
            <w:tabs>
              <w:tab w:val="clear" w:pos="720"/>
              <w:tab w:val="right" w:pos="13892" w:leader="dot"/>
            </w:tabs>
            <w:rPr>
              <w:iCs w:val="false"/>
              <w:szCs w:val="22"/>
              <w:lang w:val="en-US" w:eastAsia="en-US"/>
            </w:rPr>
          </w:pPr>
          <w:hyperlink w:anchor="__RefHeading___Toc21099738">
            <w:r>
              <w:rPr>
                <w:rStyle w:val="IndexLink"/>
              </w:rPr>
              <w:t>3.1</w:t>
            </w:r>
            <w:r>
              <w:rPr>
                <w:rStyle w:val="IndexLink"/>
                <w:iCs w:val="false"/>
                <w:szCs w:val="22"/>
                <w:lang w:val="en-US" w:eastAsia="en-US"/>
              </w:rPr>
              <w:tab/>
            </w:r>
            <w:r>
              <w:rPr>
                <w:rStyle w:val="IndexLink"/>
              </w:rPr>
              <w:t>Overview</w:t>
              <w:tab/>
              <w:t>3</w:t>
            </w:r>
          </w:hyperlink>
        </w:p>
        <w:p>
          <w:pPr>
            <w:pStyle w:val="Contents2"/>
            <w:tabs>
              <w:tab w:val="clear" w:pos="720"/>
              <w:tab w:val="right" w:pos="13892" w:leader="dot"/>
            </w:tabs>
            <w:rPr>
              <w:iCs w:val="false"/>
              <w:szCs w:val="22"/>
              <w:lang w:val="en-US" w:eastAsia="en-US"/>
            </w:rPr>
          </w:pPr>
          <w:hyperlink w:anchor="__RefHeading___Toc21099739">
            <w:r>
              <w:rPr>
                <w:rStyle w:val="IndexLink"/>
              </w:rPr>
              <w:t>3.2</w:t>
            </w:r>
            <w:r>
              <w:rPr>
                <w:rStyle w:val="IndexLink"/>
                <w:iCs w:val="false"/>
                <w:szCs w:val="22"/>
                <w:lang w:val="en-US" w:eastAsia="en-US"/>
              </w:rPr>
              <w:tab/>
            </w:r>
            <w:r>
              <w:rPr>
                <w:rStyle w:val="IndexLink"/>
              </w:rPr>
              <w:t>Notes to record author</w:t>
              <w:tab/>
              <w:t>3</w:t>
            </w:r>
          </w:hyperlink>
        </w:p>
        <w:p>
          <w:pPr>
            <w:pStyle w:val="Contents2"/>
            <w:tabs>
              <w:tab w:val="clear" w:pos="720"/>
              <w:tab w:val="right" w:pos="13892" w:leader="dot"/>
            </w:tabs>
            <w:rPr>
              <w:iCs w:val="false"/>
              <w:szCs w:val="22"/>
              <w:lang w:val="en-US" w:eastAsia="en-US"/>
            </w:rPr>
          </w:pPr>
          <w:hyperlink w:anchor="__RefHeading___Toc21099740">
            <w:r>
              <w:rPr>
                <w:rStyle w:val="IndexLink"/>
              </w:rPr>
              <w:t>3.3</w:t>
            </w:r>
            <w:r>
              <w:rPr>
                <w:rStyle w:val="IndexLink"/>
                <w:iCs w:val="false"/>
                <w:szCs w:val="22"/>
                <w:lang w:val="en-US" w:eastAsia="en-US"/>
              </w:rPr>
              <w:tab/>
            </w:r>
            <w:r>
              <w:rPr>
                <w:rStyle w:val="IndexLink"/>
              </w:rPr>
              <w:t>Environment</w:t>
              <w:tab/>
              <w:t>4</w:t>
            </w:r>
          </w:hyperlink>
        </w:p>
        <w:p>
          <w:pPr>
            <w:pStyle w:val="Contents2"/>
            <w:tabs>
              <w:tab w:val="clear" w:pos="720"/>
              <w:tab w:val="right" w:pos="13892" w:leader="dot"/>
            </w:tabs>
            <w:rPr>
              <w:iCs w:val="false"/>
              <w:szCs w:val="22"/>
              <w:lang w:val="en-US" w:eastAsia="en-US"/>
            </w:rPr>
          </w:pPr>
          <w:hyperlink w:anchor="__RefHeading___Toc21099741">
            <w:r>
              <w:rPr>
                <w:rStyle w:val="IndexLink"/>
              </w:rPr>
              <w:t>3.4</w:t>
            </w:r>
            <w:r>
              <w:rPr>
                <w:rStyle w:val="IndexLink"/>
                <w:iCs w:val="false"/>
                <w:szCs w:val="22"/>
                <w:lang w:val="en-US" w:eastAsia="en-US"/>
              </w:rPr>
              <w:tab/>
            </w:r>
            <w:r>
              <w:rPr>
                <w:rStyle w:val="IndexLink"/>
              </w:rPr>
              <w:t>Hardware Specification and Verification</w:t>
              <w:tab/>
              <w:t>4</w:t>
            </w:r>
          </w:hyperlink>
        </w:p>
        <w:p>
          <w:pPr>
            <w:pStyle w:val="Contents2"/>
            <w:tabs>
              <w:tab w:val="clear" w:pos="720"/>
              <w:tab w:val="right" w:pos="13892" w:leader="dot"/>
            </w:tabs>
            <w:rPr>
              <w:iCs w:val="false"/>
              <w:szCs w:val="22"/>
              <w:lang w:val="en-US" w:eastAsia="en-US"/>
            </w:rPr>
          </w:pPr>
          <w:hyperlink w:anchor="__RefHeading___Toc21099742">
            <w:r>
              <w:rPr>
                <w:rStyle w:val="IndexLink"/>
              </w:rPr>
              <w:t>3.5</w:t>
            </w:r>
            <w:r>
              <w:rPr>
                <w:rStyle w:val="IndexLink"/>
                <w:iCs w:val="false"/>
                <w:szCs w:val="22"/>
                <w:lang w:val="en-US" w:eastAsia="en-US"/>
              </w:rPr>
              <w:tab/>
            </w:r>
            <w:r>
              <w:rPr>
                <w:rStyle w:val="IndexLink"/>
              </w:rPr>
              <w:t>Standard Software Specification and Verification</w:t>
              <w:tab/>
              <w:t>23</w:t>
            </w:r>
          </w:hyperlink>
        </w:p>
        <w:p>
          <w:pPr>
            <w:pStyle w:val="Contents2"/>
            <w:tabs>
              <w:tab w:val="clear" w:pos="720"/>
              <w:tab w:val="right" w:pos="13892" w:leader="dot"/>
            </w:tabs>
            <w:rPr>
              <w:iCs w:val="false"/>
              <w:szCs w:val="22"/>
              <w:lang w:val="en-US" w:eastAsia="en-US"/>
            </w:rPr>
          </w:pPr>
          <w:hyperlink w:anchor="__RefHeading___Toc21099743">
            <w:r>
              <w:rPr>
                <w:rStyle w:val="IndexLink"/>
              </w:rPr>
              <w:t>3.6</w:t>
            </w:r>
            <w:r>
              <w:rPr>
                <w:rStyle w:val="IndexLink"/>
                <w:iCs w:val="false"/>
                <w:szCs w:val="22"/>
                <w:lang w:val="en-US" w:eastAsia="en-US"/>
              </w:rPr>
              <w:tab/>
            </w:r>
            <w:r>
              <w:rPr>
                <w:rStyle w:val="IndexLink"/>
              </w:rPr>
              <w:t>Environment Build Parameters</w:t>
              <w:tab/>
              <w:t>25</w:t>
            </w:r>
          </w:hyperlink>
        </w:p>
        <w:p>
          <w:pPr>
            <w:pStyle w:val="Contents2"/>
            <w:tabs>
              <w:tab w:val="clear" w:pos="720"/>
              <w:tab w:val="right" w:pos="13892" w:leader="dot"/>
            </w:tabs>
            <w:rPr>
              <w:iCs w:val="false"/>
              <w:szCs w:val="22"/>
              <w:lang w:val="en-US" w:eastAsia="en-US"/>
            </w:rPr>
          </w:pPr>
          <w:hyperlink w:anchor="__RefHeading___Toc21099744">
            <w:r>
              <w:rPr>
                <w:rStyle w:val="IndexLink"/>
              </w:rPr>
              <w:t>3.7</w:t>
            </w:r>
            <w:r>
              <w:rPr>
                <w:rStyle w:val="IndexLink"/>
                <w:iCs w:val="false"/>
                <w:szCs w:val="22"/>
                <w:lang w:val="en-US" w:eastAsia="en-US"/>
              </w:rPr>
              <w:tab/>
            </w:r>
            <w:r>
              <w:rPr>
                <w:rStyle w:val="IndexLink"/>
              </w:rPr>
              <w:t>Version Control</w:t>
              <w:tab/>
              <w:t>25</w:t>
            </w:r>
          </w:hyperlink>
        </w:p>
        <w:p>
          <w:pPr>
            <w:pStyle w:val="Contents1"/>
            <w:tabs>
              <w:tab w:val="clear" w:pos="720"/>
              <w:tab w:val="right" w:pos="13892" w:leader="dot"/>
            </w:tabs>
            <w:rPr>
              <w:bCs w:val="false"/>
              <w:szCs w:val="22"/>
              <w:lang w:val="en-US" w:eastAsia="en-US"/>
            </w:rPr>
          </w:pPr>
          <w:hyperlink w:anchor="__RefHeading___Toc21099745">
            <w:r>
              <w:rPr>
                <w:rStyle w:val="IndexLink"/>
              </w:rPr>
              <w:t>4.</w:t>
            </w:r>
            <w:r>
              <w:rPr>
                <w:rStyle w:val="IndexLink"/>
                <w:bCs w:val="false"/>
                <w:szCs w:val="22"/>
                <w:lang w:val="en-US" w:eastAsia="en-US"/>
              </w:rPr>
              <w:tab/>
            </w:r>
            <w:r>
              <w:rPr>
                <w:rStyle w:val="IndexLink"/>
              </w:rPr>
              <w:t>Approver Statements</w:t>
              <w:tab/>
              <w:t>26</w:t>
            </w:r>
          </w:hyperlink>
        </w:p>
        <w:p>
          <w:pPr>
            <w:pStyle w:val="Contents1"/>
            <w:tabs>
              <w:tab w:val="clear" w:pos="720"/>
              <w:tab w:val="right" w:pos="13892" w:leader="dot"/>
            </w:tabs>
            <w:rPr>
              <w:szCs w:val="22"/>
              <w:lang w:val="en-US" w:eastAsia="en-US"/>
            </w:rPr>
          </w:pPr>
          <w:hyperlink w:anchor="__RefHeading___Toc21099746">
            <w:r>
              <w:rPr>
                <w:rStyle w:val="IndexLink"/>
                <w:bCs w:val="false"/>
              </w:rPr>
              <w:t>5.</w:t>
            </w:r>
            <w:r>
              <w:rPr>
                <w:rStyle w:val="IndexLink"/>
                <w:bCs w:val="false"/>
                <w:szCs w:val="22"/>
                <w:lang w:val="en-US" w:eastAsia="en-US"/>
              </w:rPr>
              <w:tab/>
            </w:r>
            <w:r>
              <w:rPr>
                <w:rStyle w:val="IndexLink"/>
                <w:bCs w:val="false"/>
              </w:rPr>
              <w:t>References</w:t>
              <w:tab/>
              <w:t>27</w:t>
            </w:r>
          </w:hyperlink>
          <w:r>
            <w:rPr>
              <w:rStyle w:val="IndexLink"/>
              <w:bCs w:val="false"/>
            </w:rPr>
            <w:fldChar w:fldCharType="end"/>
          </w:r>
        </w:p>
      </w:sdtContent>
    </w:sdt>
    <w:p>
      <w:pPr>
        <w:pStyle w:val="Normal"/>
        <w:jc w:val="center"/>
        <w:rPr>
          <w:rFonts w:cs="Times New Roman"/>
          <w:bCs/>
          <w:szCs w:val="24"/>
          <w:lang w:val="en-US" w:eastAsia="en-US"/>
        </w:rPr>
      </w:pPr>
      <w:r>
        <w:rPr>
          <w:rFonts w:cs="Times New Roman"/>
          <w:bCs/>
          <w:szCs w:val="24"/>
          <w:lang w:val="en-US" w:eastAsia="en-US"/>
        </w:rPr>
      </w:r>
    </w:p>
    <w:p>
      <w:pPr>
        <w:pStyle w:val="Normal"/>
        <w:jc w:val="center"/>
        <w:rPr/>
      </w:pPr>
      <w:r>
        <w:rPr/>
        <w:t>Table of Tables</w:t>
      </w:r>
    </w:p>
    <w:p>
      <w:pPr>
        <w:pStyle w:val="TableofFigures"/>
        <w:tabs>
          <w:tab w:val="clear" w:pos="720"/>
          <w:tab w:val="right" w:pos="13892" w:leader="dot"/>
        </w:tabs>
        <w:rPr>
          <w:rFonts w:cs="Times New Roman"/>
          <w:szCs w:val="22"/>
          <w:lang w:val="en-US" w:eastAsia="en-US"/>
        </w:rPr>
      </w:pPr>
      <w:r>
        <w:fldChar w:fldCharType="begin"/>
      </w:r>
      <w:r>
        <w:rPr>
          <w:rStyle w:val="IndexLink"/>
        </w:rPr>
        <w:instrText> TOC \h \z \c "Table" </w:instrText>
      </w:r>
      <w:r>
        <w:rPr>
          <w:rStyle w:val="IndexLink"/>
        </w:rPr>
        <w:fldChar w:fldCharType="separate"/>
      </w:r>
      <w:hyperlink w:anchor="__RefHeading___Toc21099747">
        <w:r>
          <w:rPr>
            <w:rStyle w:val="IndexLink"/>
          </w:rPr>
          <w:t>Table 1: Hardware Specification and Verification</w:t>
          <w:tab/>
          <w:t>22</w:t>
        </w:r>
      </w:hyperlink>
    </w:p>
    <w:p>
      <w:pPr>
        <w:pStyle w:val="TableofFigures"/>
        <w:tabs>
          <w:tab w:val="clear" w:pos="720"/>
          <w:tab w:val="right" w:pos="13892" w:leader="dot"/>
        </w:tabs>
        <w:rPr>
          <w:rFonts w:cs="Times New Roman"/>
          <w:szCs w:val="22"/>
          <w:lang w:val="en-US" w:eastAsia="en-US"/>
        </w:rPr>
      </w:pPr>
      <w:hyperlink w:anchor="__RefHeading___Toc21099748">
        <w:r>
          <w:rPr>
            <w:rStyle w:val="IndexLink"/>
          </w:rPr>
          <w:t>Table 2: Standard Software Specification and Verification</w:t>
          <w:tab/>
          <w:t>25</w:t>
        </w:r>
      </w:hyperlink>
    </w:p>
    <w:p>
      <w:pPr>
        <w:pStyle w:val="TableofFigures"/>
        <w:tabs>
          <w:tab w:val="clear" w:pos="720"/>
          <w:tab w:val="right" w:pos="13892" w:leader="dot"/>
        </w:tabs>
        <w:rPr>
          <w:rFonts w:cs="Times New Roman"/>
          <w:szCs w:val="22"/>
          <w:lang w:val="en-US" w:eastAsia="en-US"/>
        </w:rPr>
      </w:pPr>
      <w:hyperlink w:anchor="__RefHeading___Toc21099749">
        <w:r>
          <w:rPr>
            <w:rStyle w:val="IndexLink"/>
          </w:rPr>
          <w:t>Table 3: Environment Build Parameters</w:t>
          <w:tab/>
          <w:t>25</w:t>
        </w:r>
      </w:hyperlink>
    </w:p>
    <w:p>
      <w:pPr>
        <w:pStyle w:val="TableofFigures"/>
        <w:tabs>
          <w:tab w:val="clear" w:pos="720"/>
          <w:tab w:val="right" w:pos="13892" w:leader="dot"/>
        </w:tabs>
        <w:rPr>
          <w:rFonts w:cs="Times New Roman"/>
          <w:szCs w:val="22"/>
          <w:lang w:val="en-US" w:eastAsia="en-US"/>
        </w:rPr>
      </w:pPr>
      <w:hyperlink w:anchor="__RefHeading___Toc21099750">
        <w:r>
          <w:rPr>
            <w:rStyle w:val="IndexLink"/>
          </w:rPr>
          <w:t>Table 4: Data Retrieval Programs</w:t>
          <w:tab/>
          <w:t>25</w:t>
        </w:r>
      </w:hyperlink>
    </w:p>
    <w:p>
      <w:pPr>
        <w:pStyle w:val="TableofFigures"/>
        <w:tabs>
          <w:tab w:val="clear" w:pos="720"/>
          <w:tab w:val="right" w:pos="13892" w:leader="dot"/>
        </w:tabs>
        <w:rPr>
          <w:rFonts w:cs="Times New Roman"/>
          <w:szCs w:val="22"/>
          <w:lang w:val="en-US" w:eastAsia="en-US"/>
        </w:rPr>
      </w:pPr>
      <w:hyperlink w:anchor="__RefHeading___Toc21099751">
        <w:r>
          <w:rPr>
            <w:rStyle w:val="IndexLink"/>
          </w:rPr>
          <w:t>Table 5: References</w:t>
          <w:tab/>
          <w:t>27</w:t>
        </w:r>
      </w:hyperlink>
      <w:r>
        <w:rPr>
          <w:rStyle w:val="IndexLink"/>
        </w:rPr>
        <w:fldChar w:fldCharType="end"/>
      </w:r>
    </w:p>
    <w:p>
      <w:pPr>
        <w:sectPr>
          <w:headerReference w:type="default" r:id="rId2"/>
          <w:footerReference w:type="default" r:id="rId3"/>
          <w:type w:val="nextPage"/>
          <w:pgSz w:orient="landscape" w:w="16838" w:h="11906"/>
          <w:pgMar w:left="1440" w:right="1440" w:header="567" w:top="1440" w:footer="0" w:bottom="1134" w:gutter="0"/>
          <w:pgNumType w:fmt="decimal"/>
          <w:formProt w:val="false"/>
          <w:textDirection w:val="lrTb"/>
          <w:docGrid w:type="default" w:linePitch="299" w:charSpace="0"/>
        </w:sectPr>
        <w:pStyle w:val="TableofFigures"/>
        <w:numPr>
          <w:ilvl w:val="0"/>
          <w:numId w:val="0"/>
        </w:numPr>
        <w:ind w:right="726" w:hanging="0"/>
        <w:rPr>
          <w:rFonts w:cs="Times New Roman"/>
          <w:bCs/>
          <w:sz w:val="20"/>
          <w:szCs w:val="24"/>
          <w:lang w:val="en-US" w:eastAsia="en-US"/>
        </w:rPr>
      </w:pPr>
      <w:r>
        <w:rPr>
          <w:rFonts w:cs="Times New Roman"/>
          <w:bCs/>
          <w:sz w:val="20"/>
          <w:szCs w:val="24"/>
          <w:lang w:val="en-US" w:eastAsia="en-US"/>
        </w:rPr>
      </w:r>
    </w:p>
    <w:p>
      <w:pPr>
        <w:pStyle w:val="Heading1"/>
        <w:ind w:left="0" w:right="146" w:hanging="0"/>
        <w:rPr/>
      </w:pPr>
      <w:bookmarkStart w:id="0" w:name="__RefHeading___Toc21099735"/>
      <w:bookmarkEnd w:id="0"/>
      <w:r>
        <w:rPr/>
        <w:t>Purpose</w:t>
      </w:r>
    </w:p>
    <w:p>
      <w:pPr>
        <w:pStyle w:val="Normal"/>
        <w:rPr>
          <w:color w:val="000000"/>
        </w:rPr>
      </w:pPr>
      <w:r>
        <w:rPr>
          <w:color w:val="000000"/>
        </w:rPr>
        <w:t>The purpose of this document is two-fold:</w:t>
      </w:r>
    </w:p>
    <w:p>
      <w:pPr>
        <w:pStyle w:val="ListParagraph"/>
        <w:numPr>
          <w:ilvl w:val="0"/>
          <w:numId w:val="2"/>
        </w:numPr>
        <w:rPr/>
      </w:pPr>
      <w:r>
        <w:rPr>
          <w:color w:val="000000"/>
          <w:sz w:val="22"/>
          <w:szCs w:val="22"/>
        </w:rPr>
        <w:t xml:space="preserve">To define </w:t>
      </w:r>
      <w:r>
        <w:rPr>
          <w:sz w:val="22"/>
          <w:szCs w:val="22"/>
        </w:rPr>
        <w:t xml:space="preserve">the hardware and standard software components applicable to </w:t>
      </w:r>
      <w:r>
        <w:rPr>
          <w:color w:val="000000"/>
          <w:sz w:val="22"/>
          <w:szCs w:val="22"/>
        </w:rPr>
        <w:t xml:space="preserve">the </w:t>
      </w:r>
      <w:r>
        <w:rPr>
          <w:color w:val="000000"/>
          <w:sz w:val="22"/>
          <w:szCs w:val="22"/>
          <w:lang w:val="en-CA"/>
        </w:rPr>
        <w:t xml:space="preserve">Production (PRD-IQE) - Bulgaria </w:t>
      </w:r>
      <w:r>
        <w:rPr>
          <w:color w:val="000000"/>
          <w:sz w:val="22"/>
          <w:szCs w:val="22"/>
        </w:rPr>
        <w:t>environment.</w:t>
      </w:r>
    </w:p>
    <w:p>
      <w:pPr>
        <w:pStyle w:val="ListParagraph"/>
        <w:numPr>
          <w:ilvl w:val="0"/>
          <w:numId w:val="2"/>
        </w:numPr>
        <w:rPr/>
      </w:pPr>
      <w:r>
        <w:rPr>
          <w:color w:val="000000"/>
          <w:sz w:val="22"/>
          <w:szCs w:val="22"/>
        </w:rPr>
        <w:t>To verify that the above components have been installed correctly in the Production (PRD-IQE) - Bulgaria environment.</w:t>
      </w:r>
    </w:p>
    <w:p>
      <w:pPr>
        <w:pStyle w:val="Heading1"/>
        <w:ind w:left="0" w:right="146" w:hanging="0"/>
        <w:rPr/>
      </w:pPr>
      <w:bookmarkStart w:id="1" w:name="__RefHeading___Toc21099736"/>
      <w:bookmarkEnd w:id="1"/>
      <w:r>
        <w:rPr/>
        <w:t>Scope</w:t>
      </w:r>
    </w:p>
    <w:p>
      <w:pPr>
        <w:pStyle w:val="Normal"/>
        <w:widowControl/>
        <w:spacing w:lineRule="auto" w:line="256" w:before="0" w:after="160"/>
        <w:ind w:right="-1067" w:hanging="0"/>
        <w:rPr>
          <w:color w:val="000000"/>
        </w:rPr>
      </w:pPr>
      <w:r>
        <w:rPr/>
        <w:t xml:space="preserve">The scope of this record is limited to hardware and standard software components as used in the </w:t>
      </w:r>
      <w:r>
        <w:rPr>
          <w:color w:val="000000"/>
        </w:rPr>
        <w:t>Production (PRD-IQE) - Bulgaria environment</w:t>
      </w:r>
      <w:r>
        <w:rPr/>
        <w:t xml:space="preserve"> for the National Blueprint System application.</w:t>
      </w:r>
    </w:p>
    <w:p>
      <w:pPr>
        <w:pStyle w:val="NoSpacing"/>
        <w:bidi w:val="0"/>
        <w:jc w:val="left"/>
        <w:rPr>
          <w:color w:val="000000"/>
          <w:szCs w:val="16"/>
        </w:rPr>
      </w:pPr>
      <w:r>
        <w:rPr>
          <w:color w:val="000000"/>
          <w:szCs w:val="16"/>
        </w:rPr>
      </w:r>
    </w:p>
    <w:p>
      <w:pPr>
        <w:pStyle w:val="Heading1"/>
        <w:widowControl/>
        <w:spacing w:lineRule="auto" w:line="256"/>
        <w:ind w:left="0" w:right="146" w:hanging="0"/>
        <w:rPr/>
      </w:pPr>
      <w:r>
        <w:rPr>
          <w:rFonts w:eastAsia="Calibri" w:cs="Calibri"/>
        </w:rPr>
        <w:t xml:space="preserve"> </w:t>
      </w:r>
      <w:bookmarkStart w:id="2" w:name="__RefHeading___Toc21099737"/>
      <w:r>
        <w:rPr/>
        <w:t>Configuration and Verification</w:t>
      </w:r>
      <w:bookmarkEnd w:id="2"/>
    </w:p>
    <w:p>
      <w:pPr>
        <w:pStyle w:val="Heading2"/>
        <w:widowControl/>
        <w:spacing w:lineRule="auto" w:line="256"/>
        <w:ind w:left="0" w:right="-75" w:hanging="0"/>
        <w:rPr/>
      </w:pPr>
      <w:bookmarkStart w:id="3" w:name="__RefHeading___Toc21099738"/>
      <w:bookmarkEnd w:id="3"/>
      <w:r>
        <w:rPr/>
        <w:t>Overview</w:t>
      </w:r>
    </w:p>
    <w:p>
      <w:pPr>
        <w:pStyle w:val="Normal"/>
        <w:ind w:right="-358" w:hanging="0"/>
        <w:rPr>
          <w:color w:val="000000"/>
        </w:rPr>
      </w:pPr>
      <w:r>
        <w:rPr>
          <w:color w:val="000000"/>
        </w:rPr>
        <w:t xml:space="preserve">The sections that follow detail the </w:t>
      </w:r>
      <w:r>
        <w:rPr/>
        <w:t xml:space="preserve">hardware and standard software components </w:t>
      </w:r>
      <w:r>
        <w:rPr>
          <w:color w:val="000000"/>
        </w:rPr>
        <w:t xml:space="preserve">needed to build the Production (PRD-IQE) - Bulgaria environment. </w:t>
      </w:r>
      <w:r>
        <w:rPr/>
        <w:t xml:space="preserve">Hardware components </w:t>
      </w:r>
      <w:r>
        <w:rPr>
          <w:color w:val="000000"/>
        </w:rPr>
        <w:t xml:space="preserve">for the aforementioned environment are specified in table 1 under the column titled ‘Specification Required’ </w:t>
      </w:r>
      <w:r>
        <w:rPr/>
        <w:t xml:space="preserve">and standard software components </w:t>
      </w:r>
      <w:r>
        <w:rPr>
          <w:color w:val="000000"/>
        </w:rPr>
        <w:t>are specified in table 2 under the column titled ‘Specification Required’. Environment parameters used by the script that creates the Production (PRD-IQE) - Bulgaria environment can be found in table 3.</w:t>
      </w:r>
    </w:p>
    <w:p>
      <w:pPr>
        <w:pStyle w:val="Heading2"/>
        <w:ind w:left="0" w:right="-75" w:hanging="0"/>
        <w:rPr/>
      </w:pPr>
      <w:bookmarkStart w:id="4" w:name="__RefHeading___Toc21099739"/>
      <w:bookmarkEnd w:id="4"/>
      <w:r>
        <w:rPr/>
        <w:t>Notes to record author</w:t>
      </w:r>
    </w:p>
    <w:p>
      <w:pPr>
        <w:pStyle w:val="Normal"/>
        <w:ind w:right="-75" w:hanging="0"/>
        <w:rPr/>
      </w:pPr>
      <w:r>
        <w:rPr/>
        <w:t>The following serves as both a specification and an installation verification for the environment in scope. Columns that are highlighted in blue in tables 1 and 2 are specifications required and must be completed before the verification part (highlighted in green). Once the specification has been completed the record is to be made available to the individual responsible for deploying specified components to the applicable environment.</w:t>
      </w:r>
    </w:p>
    <w:p>
      <w:pPr>
        <w:pStyle w:val="Normal"/>
        <w:widowControl/>
        <w:ind w:right="-75" w:hanging="0"/>
        <w:rPr>
          <w:szCs w:val="22"/>
        </w:rPr>
      </w:pPr>
      <w:r>
        <w:rPr>
          <w:szCs w:val="22"/>
        </w:rPr>
        <w:t>When completing the verification part of this record the actual components found must be recorded in the ‘</w:t>
      </w:r>
      <w:r>
        <w:rPr>
          <w:color w:val="000000"/>
        </w:rPr>
        <w:t xml:space="preserve">Specification </w:t>
      </w:r>
      <w:r>
        <w:rPr>
          <w:szCs w:val="22"/>
        </w:rPr>
        <w:t xml:space="preserve">Found’ column of tables 1 and 2. It is </w:t>
      </w:r>
      <w:r>
        <w:rPr>
          <w:szCs w:val="22"/>
          <w:u w:val="single"/>
        </w:rPr>
        <w:t>not</w:t>
      </w:r>
      <w:r>
        <w:rPr>
          <w:szCs w:val="22"/>
        </w:rPr>
        <w:t xml:space="preserve"> sufficient to enter ‘as per </w:t>
      </w:r>
      <w:r>
        <w:rPr>
          <w:color w:val="000000"/>
        </w:rPr>
        <w:t xml:space="preserve">specification </w:t>
      </w:r>
      <w:r>
        <w:rPr>
          <w:szCs w:val="22"/>
        </w:rPr>
        <w:t xml:space="preserve">detail’. A ‘Pass’ is to be recorded if the specification found is equal to the specification required or no specification detail is given. Record ‘Fail’ in all other cases. The individual responsible for authoring the </w:t>
      </w:r>
      <w:r>
        <w:rPr/>
        <w:t xml:space="preserve">hardware and standard software </w:t>
      </w:r>
      <w:r>
        <w:rPr>
          <w:szCs w:val="22"/>
        </w:rPr>
        <w:t>specification is required to sign the declaration in section 4 to confirm the details provided are correct. The individual responsible for verifying the installation of environment components is also required to sign the declaration in section 4 to confirm the details found are correct. The specification author and verification author may be the same individual if required.</w:t>
      </w:r>
    </w:p>
    <w:p>
      <w:pPr>
        <w:pStyle w:val="Heading2"/>
        <w:rPr/>
      </w:pPr>
      <w:bookmarkStart w:id="5" w:name="__RefHeading___Toc21099740"/>
      <w:bookmarkEnd w:id="5"/>
      <w:r>
        <w:rPr/>
        <w:t>Environment</w:t>
      </w:r>
    </w:p>
    <w:p>
      <w:pPr>
        <w:pStyle w:val="NoSpacing"/>
        <w:widowControl w:val="false"/>
        <w:bidi w:val="0"/>
        <w:jc w:val="left"/>
        <w:rPr>
          <w:color w:val="000000"/>
        </w:rPr>
      </w:pPr>
      <w:r>
        <w:rPr>
          <w:color w:val="000000"/>
        </w:rPr>
        <w:t>Project\Service:</w:t>
        <w:tab/>
      </w:r>
      <w:r>
        <w:rPr>
          <w:bCs/>
          <w:color w:val="000000"/>
        </w:rPr>
        <w:t>European Medicines Verification System</w:t>
      </w:r>
    </w:p>
    <w:p>
      <w:pPr>
        <w:pStyle w:val="NoSpacing"/>
        <w:widowControl w:val="false"/>
        <w:bidi w:val="0"/>
        <w:jc w:val="left"/>
        <w:rPr>
          <w:color w:val="000000"/>
          <w:lang w:val="fr-FR"/>
        </w:rPr>
      </w:pPr>
      <w:r>
        <w:rPr>
          <w:color w:val="000000"/>
          <w:lang w:val="fr-FR"/>
        </w:rPr>
        <w:t>Environment Name:</w:t>
        <w:tab/>
        <w:t>Production (PRD-IQE) - Bulgaria</w:t>
      </w:r>
    </w:p>
    <w:p>
      <w:pPr>
        <w:pStyle w:val="NoSpacing"/>
        <w:widowControl w:val="false"/>
        <w:bidi w:val="0"/>
        <w:jc w:val="left"/>
        <w:rPr>
          <w:color w:val="000000"/>
        </w:rPr>
      </w:pPr>
      <w:r>
        <w:rPr>
          <w:color w:val="000000"/>
        </w:rPr>
        <w:t>Purpose:</w:t>
        <w:tab/>
        <w:tab/>
      </w:r>
      <w:r>
        <w:rPr>
          <w:bCs/>
          <w:color w:val="000000"/>
        </w:rPr>
        <w:t>Release 6.2 National Blueprint System application hosting.</w:t>
      </w:r>
    </w:p>
    <w:p>
      <w:pPr>
        <w:pStyle w:val="NoSpacing"/>
        <w:bidi w:val="0"/>
        <w:jc w:val="left"/>
        <w:rPr>
          <w:color w:val="000000"/>
        </w:rPr>
      </w:pPr>
      <w:r>
        <w:rPr>
          <w:color w:val="000000"/>
        </w:rPr>
      </w:r>
    </w:p>
    <w:p>
      <w:pPr>
        <w:pStyle w:val="Heading2"/>
        <w:rPr/>
      </w:pPr>
      <w:bookmarkStart w:id="6" w:name="__RefHeading___Toc21099741"/>
      <w:bookmarkEnd w:id="6"/>
      <w:r>
        <w:rPr/>
        <w:t>Hardware Specification and Verification</w:t>
      </w:r>
    </w:p>
    <w:tbl>
      <w:tblPr>
        <w:tblW w:w="4900" w:type="pct"/>
        <w:jc w:val="left"/>
        <w:tblInd w:w="-5" w:type="dxa"/>
        <w:tblCellMar>
          <w:top w:w="0" w:type="dxa"/>
          <w:left w:w="108" w:type="dxa"/>
          <w:bottom w:w="0" w:type="dxa"/>
          <w:right w:w="108" w:type="dxa"/>
        </w:tblCellMar>
      </w:tblPr>
      <w:tblGrid>
        <w:gridCol w:w="521"/>
        <w:gridCol w:w="2766"/>
        <w:gridCol w:w="2351"/>
        <w:gridCol w:w="2354"/>
        <w:gridCol w:w="2351"/>
        <w:gridCol w:w="2354"/>
        <w:gridCol w:w="981"/>
      </w:tblGrid>
      <w:tr>
        <w:trPr>
          <w:tblHeader w:val="true"/>
          <w:cantSplit w:val="true"/>
        </w:trPr>
        <w:tc>
          <w:tcPr>
            <w:tcW w:w="521" w:type="dxa"/>
            <w:tcBorders>
              <w:top w:val="single" w:sz="4" w:space="0" w:color="000000"/>
              <w:left w:val="single" w:sz="4" w:space="0" w:color="000000"/>
              <w:bottom w:val="single" w:sz="4" w:space="0" w:color="000000"/>
            </w:tcBorders>
            <w:shd w:fill="E6E6E6" w:val="clear"/>
          </w:tcPr>
          <w:p>
            <w:pPr>
              <w:pStyle w:val="Tabletext"/>
              <w:spacing w:before="40" w:after="40"/>
              <w:ind w:left="-108" w:right="-98" w:hanging="0"/>
              <w:jc w:val="center"/>
              <w:rPr>
                <w:b/>
                <w:b/>
                <w:lang w:eastAsia="en-GB"/>
              </w:rPr>
            </w:pPr>
            <w:r>
              <w:rPr>
                <w:b/>
                <w:lang w:eastAsia="en-GB"/>
              </w:rPr>
              <w:t>Ref.</w:t>
            </w:r>
          </w:p>
        </w:tc>
        <w:tc>
          <w:tcPr>
            <w:tcW w:w="2766" w:type="dxa"/>
            <w:tcBorders>
              <w:top w:val="single" w:sz="4" w:space="0" w:color="000000"/>
              <w:left w:val="single" w:sz="4" w:space="0" w:color="000000"/>
              <w:bottom w:val="single" w:sz="4" w:space="0" w:color="000000"/>
            </w:tcBorders>
            <w:shd w:fill="E6E6E6" w:val="clear"/>
          </w:tcPr>
          <w:p>
            <w:pPr>
              <w:pStyle w:val="Tabletext"/>
              <w:spacing w:before="40" w:after="40"/>
              <w:jc w:val="center"/>
              <w:rPr>
                <w:b/>
                <w:b/>
                <w:lang w:eastAsia="en-GB"/>
              </w:rPr>
            </w:pPr>
            <w:r>
              <w:rPr>
                <w:b/>
                <w:lang w:eastAsia="en-GB"/>
              </w:rPr>
              <w:t>Description</w:t>
            </w:r>
          </w:p>
        </w:tc>
        <w:tc>
          <w:tcPr>
            <w:tcW w:w="4705" w:type="dxa"/>
            <w:gridSpan w:val="2"/>
            <w:tcBorders>
              <w:top w:val="single" w:sz="4" w:space="0" w:color="000000"/>
              <w:left w:val="single" w:sz="4" w:space="0" w:color="000000"/>
              <w:bottom w:val="single" w:sz="4" w:space="0" w:color="000000"/>
            </w:tcBorders>
            <w:shd w:fill="E6E6E6" w:val="clear"/>
          </w:tcPr>
          <w:p>
            <w:pPr>
              <w:pStyle w:val="Tabletext"/>
              <w:tabs>
                <w:tab w:val="clear" w:pos="720"/>
                <w:tab w:val="center" w:pos="2619" w:leader="none"/>
                <w:tab w:val="left" w:pos="4125" w:leader="none"/>
              </w:tabs>
              <w:spacing w:before="40" w:after="40"/>
              <w:rPr>
                <w:b/>
                <w:b/>
                <w:lang w:eastAsia="en-GB"/>
              </w:rPr>
            </w:pPr>
            <w:r>
              <w:rPr>
                <w:b/>
                <w:lang w:eastAsia="en-GB"/>
              </w:rPr>
              <w:tab/>
              <w:t>Specification Required</w:t>
              <w:tab/>
            </w:r>
          </w:p>
        </w:tc>
        <w:tc>
          <w:tcPr>
            <w:tcW w:w="4705" w:type="dxa"/>
            <w:gridSpan w:val="2"/>
            <w:tcBorders>
              <w:top w:val="single" w:sz="4" w:space="0" w:color="000000"/>
              <w:left w:val="single" w:sz="4" w:space="0" w:color="000000"/>
              <w:bottom w:val="single" w:sz="4" w:space="0" w:color="000000"/>
            </w:tcBorders>
            <w:shd w:fill="E6E6E6" w:val="clear"/>
          </w:tcPr>
          <w:p>
            <w:pPr>
              <w:pStyle w:val="Tabletext"/>
              <w:spacing w:before="40" w:after="40"/>
              <w:jc w:val="center"/>
              <w:rPr/>
            </w:pPr>
            <w:r>
              <w:rPr>
                <w:b/>
                <w:lang w:eastAsia="en-GB"/>
              </w:rPr>
              <w:t>Specification Found</w:t>
            </w:r>
          </w:p>
        </w:tc>
        <w:tc>
          <w:tcPr>
            <w:tcW w:w="981" w:type="dxa"/>
            <w:tcBorders>
              <w:top w:val="single" w:sz="4" w:space="0" w:color="000000"/>
              <w:left w:val="single" w:sz="4" w:space="0" w:color="000000"/>
              <w:bottom w:val="single" w:sz="4" w:space="0" w:color="000000"/>
              <w:right w:val="single" w:sz="4" w:space="0" w:color="000000"/>
            </w:tcBorders>
            <w:shd w:fill="E6E6E6" w:val="clear"/>
          </w:tcPr>
          <w:p>
            <w:pPr>
              <w:pStyle w:val="Tabletext"/>
              <w:spacing w:before="40" w:after="40"/>
              <w:ind w:left="-79" w:right="-75" w:hanging="0"/>
              <w:jc w:val="center"/>
              <w:rPr>
                <w:b/>
                <w:b/>
                <w:lang w:eastAsia="en-GB"/>
              </w:rPr>
            </w:pPr>
            <w:r>
              <w:rPr>
                <w:b/>
                <w:lang w:eastAsia="en-GB"/>
              </w:rPr>
              <w:t xml:space="preserve">Pass\Fail </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b/>
                <w:b/>
                <w:color w:val="000000"/>
                <w:sz w:val="16"/>
                <w:szCs w:val="16"/>
                <w:lang w:eastAsia="en-GB"/>
              </w:rPr>
            </w:pPr>
            <w:r>
              <w:rPr>
                <w:b/>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widowControl/>
              <w:spacing w:lineRule="auto" w:line="240" w:before="0" w:after="0"/>
              <w:rPr>
                <w:rFonts w:cs="Calibri"/>
                <w:color w:val="000000"/>
                <w:sz w:val="18"/>
                <w:szCs w:val="18"/>
                <w:lang w:eastAsia="en-GB"/>
              </w:rPr>
            </w:pPr>
            <w:r>
              <w:rPr>
                <w:rFonts w:cs="Calibri"/>
                <w:color w:val="000000"/>
                <w:sz w:val="18"/>
                <w:szCs w:val="18"/>
              </w:rPr>
              <w:t>nbsbgiqe1jmp</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VmSize: Standard_A2_v2 </w:t>
              <w:br/>
              <w:t xml:space="preserve">OSVersion: WindowsServer 2012-R2-Datacenter </w:t>
              <w:br/>
              <w:t xml:space="preserve">AdminUsername: SolidsoftNBS </w:t>
              <w:br/>
              <w:t xml:space="preserve">vNet: nbsbgiqe1vnet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VmSize: Standard_A2_v2 </w:t>
              <w:br/>
              <w:t xml:space="preserve">OSVersion: WindowsServer 2012-R2-Datacenter </w:t>
              <w:br/>
              <w:t xml:space="preserve">AdminUsername: SolidsoftNBS </w:t>
              <w:br/>
              <w:t xml:space="preserve">vNet: nbsbgiqe1vnet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nbsbgiqe1appdata</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StandardRAGRS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StandardRAGRS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nbsbgiqe1audit</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StandardRAGRS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StandardRAGRS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nbsbgiqe1portalappdata</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StandardRAGRS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StandardRAGRS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nbsbgiqe1reportdata</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StandardRAGRS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StandardRAGRS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nbsbgiqe1st1</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nbsbgiqe1st2</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nbsbgiqe1stdiag1</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nbsbgiqe1stlog1</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nbsjumpstrfmoye7mu3w5ks</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Storage Account </w:t>
              <w:br/>
              <w:t xml:space="preserve">Location: northeurope </w:t>
              <w:br/>
              <w:t xml:space="preserve">ResourceGroup: NBSBgIqe1 </w:t>
              <w:br/>
              <w:t xml:space="preserve">SkuName: StandardLRS </w:t>
              <w:br/>
              <w:t xml:space="preserve">SkuTier: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master</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northeurope </w:t>
              <w:br/>
              <w:t xml:space="preserve">ResourceGroup: NBSBgIqe1 </w:t>
              <w:br/>
              <w:t xml:space="preserve">SqlServerVersion: 12.0 </w:t>
              <w:br/>
              <w:t xml:space="preserve">SqlAdministratorLogin: nbsidentityadmin </w:t>
              <w:br/>
              <w:t xml:space="preserve">CollationName: SQL_Latin1_General_CP1_CI_AS </w:t>
              <w:br/>
              <w:t xml:space="preserve">MaxSizeBytes: 32212254720 </w:t>
              <w:br/>
              <w:t xml:space="preserve">Edition: System </w:t>
              <w:br/>
              <w:t xml:space="preserve">Size: System1 </w:t>
              <w:br/>
              <w:t>ProvisioningState: Online</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northeurope </w:t>
              <w:br/>
              <w:t xml:space="preserve">ResourceGroup: NBSBgIqe1 </w:t>
              <w:br/>
              <w:t xml:space="preserve">SqlServerVersion: 12.0 </w:t>
              <w:br/>
              <w:t xml:space="preserve">SqlAdministratorLogin: nbsidentityadmin </w:t>
              <w:br/>
              <w:t xml:space="preserve">CollationName: SQL_Latin1_General_CP1_CI_AS </w:t>
              <w:br/>
              <w:t xml:space="preserve">MaxSizeBytes: 32212254720 </w:t>
              <w:br/>
              <w:t xml:space="preserve">Edition: System </w:t>
              <w:br/>
              <w:t xml:space="preserve">Size: System1 </w:t>
              <w:br/>
              <w:t>ProvisioningState: Online</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solidsoft.emvs.nbs.identityserver.database</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northeurope </w:t>
              <w:br/>
              <w:t xml:space="preserve">ResourceGroup: NBSBgIqe1 </w:t>
              <w:br/>
              <w:t xml:space="preserve">SqlServerVersion: 12.0 </w:t>
              <w:br/>
              <w:t xml:space="preserve">SqlAdministratorLogin: nbsidentityadmin </w:t>
              <w:br/>
              <w:t xml:space="preserve">CollationName: SQL_Latin1_General_CP1_CI_AS </w:t>
              <w:br/>
              <w:t xml:space="preserve">MaxSizeBytes: 2147483648 </w:t>
              <w:br/>
              <w:t xml:space="preserve">Edition: Standard </w:t>
              <w:br/>
              <w:t xml:space="preserve">Size: S2 </w:t>
              <w:br/>
              <w:t>ProvisioningState: Online</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northeurope </w:t>
              <w:br/>
              <w:t xml:space="preserve">ResourceGroup: NBSBgIqe1 </w:t>
              <w:br/>
              <w:t xml:space="preserve">SqlServerVersion: 12.0 </w:t>
              <w:br/>
              <w:t xml:space="preserve">SqlAdministratorLogin: nbsidentityadmin </w:t>
              <w:br/>
              <w:t xml:space="preserve">CollationName: SQL_Latin1_General_CP1_CI_AS </w:t>
              <w:br/>
              <w:t xml:space="preserve">MaxSizeBytes: 2147483648 </w:t>
              <w:br/>
              <w:t xml:space="preserve">Edition: Standard </w:t>
              <w:br/>
              <w:t xml:space="preserve">Size: S2 </w:t>
              <w:br/>
              <w:t>ProvisioningState: Online</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master</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northeurope </w:t>
              <w:br/>
              <w:t xml:space="preserve">ResourceGroup: NBSBgIqe1 </w:t>
              <w:br/>
              <w:t xml:space="preserve">SqlServerVersion: 12.0 </w:t>
              <w:br/>
              <w:t xml:space="preserve">SqlAdministratorLogin: nbsorganisationsadmin </w:t>
              <w:br/>
              <w:t xml:space="preserve">CollationName: SQL_Latin1_General_CP1_CI_AS </w:t>
              <w:br/>
              <w:t xml:space="preserve">MaxSizeBytes: 32212254720 </w:t>
              <w:br/>
              <w:t xml:space="preserve">Edition: System </w:t>
              <w:br/>
              <w:t xml:space="preserve">Size: System1 </w:t>
              <w:br/>
              <w:t>ProvisioningState: Online</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northeurope </w:t>
              <w:br/>
              <w:t xml:space="preserve">ResourceGroup: NBSBgIqe1 </w:t>
              <w:br/>
              <w:t xml:space="preserve">SqlServerVersion: 12.0 </w:t>
              <w:br/>
              <w:t xml:space="preserve">SqlAdministratorLogin: nbsorganisationsadmin </w:t>
              <w:br/>
              <w:t xml:space="preserve">CollationName: SQL_Latin1_General_CP1_CI_AS </w:t>
              <w:br/>
              <w:t xml:space="preserve">MaxSizeBytes: 32212254720 </w:t>
              <w:br/>
              <w:t xml:space="preserve">Edition: System </w:t>
              <w:br/>
              <w:t xml:space="preserve">Size: System1 </w:t>
              <w:br/>
              <w:t>ProvisioningState: Online</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solidsoft.emvs.nbs.organisationsadmin.database</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northeurope </w:t>
              <w:br/>
              <w:t xml:space="preserve">ResourceGroup: NBSBgIqe1 </w:t>
              <w:br/>
              <w:t xml:space="preserve">SqlServerVersion: 12.0 </w:t>
              <w:br/>
              <w:t xml:space="preserve">SqlAdministratorLogin: nbsorganisationsadmin </w:t>
              <w:br/>
              <w:t xml:space="preserve">CollationName: SQL_Latin1_General_CP1_CI_AS </w:t>
              <w:br/>
              <w:t xml:space="preserve">MaxSizeBytes: 2147483648 </w:t>
              <w:br/>
              <w:t xml:space="preserve">Edition: Standard </w:t>
              <w:br/>
              <w:t xml:space="preserve">Size: S2 </w:t>
              <w:br/>
              <w:t>ProvisioningState: Online</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northeurope </w:t>
              <w:br/>
              <w:t xml:space="preserve">ResourceGroup: NBSBgIqe1 </w:t>
              <w:br/>
              <w:t xml:space="preserve">SqlServerVersion: 12.0 </w:t>
              <w:br/>
              <w:t xml:space="preserve">SqlAdministratorLogin: nbsorganisationsadmin </w:t>
              <w:br/>
              <w:t xml:space="preserve">CollationName: SQL_Latin1_General_CP1_CI_AS </w:t>
              <w:br/>
              <w:t xml:space="preserve">MaxSizeBytes: 2147483648 </w:t>
              <w:br/>
              <w:t xml:space="preserve">Edition: Standard </w:t>
              <w:br/>
              <w:t xml:space="preserve">Size: S2 </w:t>
              <w:br/>
              <w:t>ProvisioningState: Online</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master</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westeurope </w:t>
              <w:br/>
              <w:t xml:space="preserve">ResourceGroup: NBSBgIqe1 </w:t>
              <w:br/>
              <w:t xml:space="preserve">SqlServerVersion: 12.0 </w:t>
              <w:br/>
              <w:t xml:space="preserve">SqlAdministratorLogin: nbsidentityadmin </w:t>
              <w:br/>
              <w:t xml:space="preserve">CollationName: SQL_Latin1_General_CP1_CI_AS </w:t>
              <w:br/>
              <w:t xml:space="preserve">MaxSizeBytes: 32212254720 </w:t>
              <w:br/>
              <w:t xml:space="preserve">Edition: System </w:t>
              <w:br/>
              <w:t xml:space="preserve">Size: System1 </w:t>
              <w:br/>
              <w:t>ProvisioningState: Online</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westeurope </w:t>
              <w:br/>
              <w:t xml:space="preserve">ResourceGroup: NBSBgIqe1 </w:t>
              <w:br/>
              <w:t xml:space="preserve">SqlServerVersion: 12.0 </w:t>
              <w:br/>
              <w:t xml:space="preserve">SqlAdministratorLogin: nbsidentityadmin </w:t>
              <w:br/>
              <w:t xml:space="preserve">CollationName: SQL_Latin1_General_CP1_CI_AS </w:t>
              <w:br/>
              <w:t xml:space="preserve">MaxSizeBytes: 32212254720 </w:t>
              <w:br/>
              <w:t xml:space="preserve">Edition: System </w:t>
              <w:br/>
              <w:t xml:space="preserve">Size: System1 </w:t>
              <w:br/>
              <w:t>ProvisioningState: Online</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bCs/>
                <w:color w:val="000000"/>
                <w:sz w:val="16"/>
                <w:szCs w:val="16"/>
                <w:lang w:eastAsia="en-GB"/>
              </w:rPr>
            </w:pPr>
            <w:r>
              <w:rPr>
                <w:rFonts w:cs="Calibri"/>
                <w:bCs/>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solidsoft.emvs.nbs.identityserver.database</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westeurope </w:t>
              <w:br/>
              <w:t xml:space="preserve">ResourceGroup: NBSBgIqe1 </w:t>
              <w:br/>
              <w:t xml:space="preserve">SqlServerVersion: 12.0 </w:t>
              <w:br/>
              <w:t xml:space="preserve">SqlAdministratorLogin: nbsidentityadmin </w:t>
              <w:br/>
              <w:t xml:space="preserve">CollationName: SQL_Latin1_General_CP1_CI_AS </w:t>
              <w:br/>
              <w:t xml:space="preserve">MaxSizeBytes: 2147483648 </w:t>
              <w:br/>
              <w:t xml:space="preserve">Edition: Standard </w:t>
              <w:br/>
              <w:t xml:space="preserve">Size: S2 </w:t>
              <w:br/>
              <w:t>ProvisioningState: Online</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westeurope </w:t>
              <w:br/>
              <w:t xml:space="preserve">ResourceGroup: NBSBgIqe1 </w:t>
              <w:br/>
              <w:t xml:space="preserve">SqlServerVersion: 12.0 </w:t>
              <w:br/>
              <w:t xml:space="preserve">SqlAdministratorLogin: nbsidentityadmin </w:t>
              <w:br/>
              <w:t xml:space="preserve">CollationName: SQL_Latin1_General_CP1_CI_AS </w:t>
              <w:br/>
              <w:t xml:space="preserve">MaxSizeBytes: 2147483648 </w:t>
              <w:br/>
              <w:t xml:space="preserve">Edition: Standard </w:t>
              <w:br/>
              <w:t xml:space="preserve">Size: S2 </w:t>
              <w:br/>
              <w:t>ProvisioningState: Online</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master</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westeurope </w:t>
              <w:br/>
              <w:t xml:space="preserve">ResourceGroup: NBSBgIqe1 </w:t>
              <w:br/>
              <w:t xml:space="preserve">SqlServerVersion: 12.0 </w:t>
              <w:br/>
              <w:t xml:space="preserve">SqlAdministratorLogin: nbsorganisationsadmin </w:t>
              <w:br/>
              <w:t xml:space="preserve">CollationName: SQL_Latin1_General_CP1_CI_AS </w:t>
              <w:br/>
              <w:t xml:space="preserve">MaxSizeBytes: 32212254720 </w:t>
              <w:br/>
              <w:t xml:space="preserve">Edition: System </w:t>
              <w:br/>
              <w:t xml:space="preserve">Size: System1 </w:t>
              <w:br/>
              <w:t>ProvisioningState: Online</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westeurope </w:t>
              <w:br/>
              <w:t xml:space="preserve">ResourceGroup: NBSBgIqe1 </w:t>
              <w:br/>
              <w:t xml:space="preserve">SqlServerVersion: 12.0 </w:t>
              <w:br/>
              <w:t xml:space="preserve">SqlAdministratorLogin: nbsorganisationsadmin </w:t>
              <w:br/>
              <w:t xml:space="preserve">CollationName: SQL_Latin1_General_CP1_CI_AS </w:t>
              <w:br/>
              <w:t xml:space="preserve">MaxSizeBytes: 32212254720 </w:t>
              <w:br/>
              <w:t xml:space="preserve">Edition: System </w:t>
              <w:br/>
              <w:t xml:space="preserve">Size: System1 </w:t>
              <w:br/>
              <w:t>ProvisioningState: Online</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bCs/>
                <w:color w:val="000000"/>
                <w:sz w:val="16"/>
                <w:szCs w:val="16"/>
                <w:lang w:eastAsia="en-GB"/>
              </w:rPr>
            </w:pPr>
            <w:r>
              <w:rPr>
                <w:rFonts w:cs="Calibri"/>
                <w:bCs/>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solidsoft.emvs.nbs.organisationsadmin.database</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westeurope </w:t>
              <w:br/>
              <w:t xml:space="preserve">ResourceGroup: NBSBgIqe1 </w:t>
              <w:br/>
              <w:t xml:space="preserve">SqlServerVersion: 12.0 </w:t>
              <w:br/>
              <w:t xml:space="preserve">SqlAdministratorLogin: nbsorganisationsadmin </w:t>
              <w:br/>
              <w:t xml:space="preserve">CollationName: SQL_Latin1_General_CP1_CI_AS </w:t>
              <w:br/>
              <w:t xml:space="preserve">MaxSizeBytes: 2147483648 </w:t>
              <w:br/>
              <w:t xml:space="preserve">Edition: Standard </w:t>
              <w:br/>
              <w:t xml:space="preserve">Size: S2 </w:t>
              <w:br/>
              <w:t>ProvisioningState: Online</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SQL Azure Database </w:t>
              <w:br/>
              <w:t xml:space="preserve">Location: westeurope </w:t>
              <w:br/>
              <w:t xml:space="preserve">ResourceGroup: NBSBgIqe1 </w:t>
              <w:br/>
              <w:t xml:space="preserve">SqlServerVersion: 12.0 </w:t>
              <w:br/>
              <w:t xml:space="preserve">SqlAdministratorLogin: nbsorganisationsadmin </w:t>
              <w:br/>
              <w:t xml:space="preserve">CollationName: SQL_Latin1_General_CP1_CI_AS </w:t>
              <w:br/>
              <w:t xml:space="preserve">MaxSizeBytes: 2147483648 </w:t>
              <w:br/>
              <w:t xml:space="preserve">Edition: Standard </w:t>
              <w:br/>
              <w:t xml:space="preserve">Size: S2 </w:t>
              <w:br/>
              <w:t>ProvisioningState: Online</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nbsbgiqe1vnet</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Network </w:t>
              <w:br/>
              <w:t xml:space="preserve">Location: northeurope </w:t>
              <w:br/>
              <w:t xml:space="preserve">ResourceGroup: NBSBgIqe1 </w:t>
              <w:br/>
              <w:t xml:space="preserve">AddressSpace: 10.0.0.0/16 </w:t>
              <w:br/>
              <w:t xml:space="preserve">Subnets: nbsbgiqe1subnet-0=10.0.1.0/24 nbsbgiqe1subnet-1=10.0.2.0/24 nbsbgiqe1subnet-2=10.0.3.0/24 nbsbgiqe1subnet-3=10.0.0.0/24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Network </w:t>
              <w:br/>
              <w:t xml:space="preserve">Location: northeurope </w:t>
              <w:br/>
              <w:t xml:space="preserve">ResourceGroup: NBSBgIqe1 </w:t>
              <w:br/>
              <w:t xml:space="preserve">AddressSpace: 10.0.0.0/16 </w:t>
              <w:br/>
              <w:t xml:space="preserve">Subnets: nbsbgiqe1subnet-0=10.0.1.0/24 nbsbgiqe1subnet-1=10.0.2.0/24 nbsbgiqe1subnet-2=10.0.3.0/24 nbsbgiqe1subnet-3=10.0.0.0/24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trHeight w:val="5164" w:hRule="atLeast"/>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nt0vm</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Scaleset </w:t>
              <w:br/>
              <w:t xml:space="preserve">Location: northeurope </w:t>
              <w:br/>
              <w:t xml:space="preserve">ResourceGroup: NBSBgIqe1 </w:t>
              <w:br/>
              <w:t xml:space="preserve">VmSize: Standard_A2_v2 </w:t>
              <w:br/>
              <w:t xml:space="preserve">Instances: 5 </w:t>
              <w:br/>
              <w:t xml:space="preserve">Tier: Standard </w:t>
              <w:br/>
              <w:t xml:space="preserve">OSVersion: WindowsServer 2012-R2-Datacenter </w:t>
              <w:br/>
              <w:t xml:space="preserve">Disks: http://nbsbgiqe1st1.blob.core.windows.net/vhds </w:t>
              <w:br/>
              <w:t xml:space="preserve">Extension [nt0vm_ServiceFabricNode] Name: nt0vm_ServiceFabricNode </w:t>
              <w:br/>
              <w:t xml:space="preserve">Extension [nt0vm_ServiceFabricNode] Type: ServiceFabricNode </w:t>
              <w:br/>
              <w:t xml:space="preserve">Extension [nt0vm_ServiceFabricNode] Publisher: Microsoft.Azure.ServiceFabric </w:t>
              <w:br/>
              <w:t xml:space="preserve">Extension [nt0vm_ServiceFabricNode] TypeHandlerVersion: 1.0 </w:t>
              <w:br/>
              <w:t xml:space="preserve">Extension [VMDiagnosticsVmExtnt0vm] Name: VMDiagnosticsVmExtnt0vm </w:t>
              <w:br/>
              <w:t xml:space="preserve">Extension [VMDiagnosticsVmExtnt0vm] Type: IaaSDiagnostics </w:t>
              <w:br/>
              <w:t xml:space="preserve">Extension [VMDiagnosticsVmExtnt0vm] Publisher: Microsoft.Azure.Diagnostics </w:t>
              <w:br/>
              <w:t xml:space="preserve">Extension [VMDiagnosticsVmExtnt0vm] TypeHandlerVersion: 1.5 </w:t>
              <w:br/>
              <w:t xml:space="preserve">Extension [runCustomScripts] Name: runCustomScripts </w:t>
              <w:br/>
              <w:t xml:space="preserve">Extension [runCustomScripts] Type: CustomScriptExtension </w:t>
              <w:br/>
              <w:t xml:space="preserve">Extension [runCustomScripts] Publisher: Microsoft.Compute </w:t>
              <w:br/>
              <w:t xml:space="preserve">Extension [runCustomScripts] TypeHandlerVersion: 1.4 </w:t>
              <w:br/>
              <w:t>Network Interface: nbsbgiqe1NIC-0</w:t>
              <w:br/>
              <w:t xml:space="preserve">AdminUsername: SolidsoftNBS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Scaleset </w:t>
              <w:br/>
              <w:t xml:space="preserve">Location: northeurope </w:t>
              <w:br/>
              <w:t xml:space="preserve">ResourceGroup: NBSBgIqe1 </w:t>
              <w:br/>
              <w:t xml:space="preserve">VmSize: Standard_A2_v2 </w:t>
              <w:br/>
              <w:t xml:space="preserve">Instances: 5 </w:t>
              <w:br/>
              <w:t xml:space="preserve">Tier: Standard </w:t>
              <w:br/>
              <w:t xml:space="preserve">OSVersion: WindowsServer 2012-R2-Datacenter </w:t>
              <w:br/>
              <w:t xml:space="preserve">Disks: http://nbsbgiqe1st1.blob.core.windows.net/vhds </w:t>
              <w:br/>
              <w:t xml:space="preserve">Extension [nt0vm_ServiceFabricNode] Name: nt0vm_ServiceFabricNode </w:t>
              <w:br/>
              <w:t xml:space="preserve">Extension [nt0vm_ServiceFabricNode] Type: ServiceFabricNode </w:t>
              <w:br/>
              <w:t xml:space="preserve">Extension [nt0vm_ServiceFabricNode] Publisher: Microsoft.Azure.ServiceFabric </w:t>
              <w:br/>
              <w:t xml:space="preserve">Extension [nt0vm_ServiceFabricNode] TypeHandlerVersion: 1.0 </w:t>
              <w:br/>
              <w:t xml:space="preserve">Extension [VMDiagnosticsVmExtnt0vm] Name: VMDiagnosticsVmExtnt0vm </w:t>
              <w:br/>
              <w:t xml:space="preserve">Extension [VMDiagnosticsVmExtnt0vm] Type: IaaSDiagnostics </w:t>
              <w:br/>
              <w:t xml:space="preserve">Extension [VMDiagnosticsVmExtnt0vm] Publisher: Microsoft.Azure.Diagnostics </w:t>
              <w:br/>
              <w:t xml:space="preserve">Extension [VMDiagnosticsVmExtnt0vm] TypeHandlerVersion: 1.5 </w:t>
              <w:br/>
              <w:t xml:space="preserve">Extension [runCustomScripts] Name: runCustomScripts </w:t>
              <w:br/>
              <w:t xml:space="preserve">Extension [runCustomScripts] Type: CustomScriptExtension </w:t>
              <w:br/>
              <w:t xml:space="preserve">Extension [runCustomScripts] Publisher: Microsoft.Compute </w:t>
              <w:br/>
              <w:t xml:space="preserve">Extension [runCustomScripts] TypeHandlerVersion: 1.4 </w:t>
              <w:br/>
              <w:t>Network Interface: nbsbgiqe1NIC-0</w:t>
              <w:br/>
              <w:t xml:space="preserve">AdminUsername: SolidsoftNBS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nt1vm</w:t>
            </w:r>
          </w:p>
        </w:tc>
        <w:tc>
          <w:tcPr>
            <w:tcW w:w="4705" w:type="dxa"/>
            <w:gridSpan w:val="2"/>
            <w:tcBorders>
              <w:top w:val="single" w:sz="4" w:space="0" w:color="000000"/>
              <w:left w:val="single" w:sz="4" w:space="0" w:color="000000"/>
              <w:bottom w:val="single" w:sz="4" w:space="0" w:color="000000"/>
            </w:tcBorders>
            <w:shd w:fill="DBE5F1" w:val="clear"/>
          </w:tcPr>
          <w:p>
            <w:pPr>
              <w:pStyle w:val="Normal"/>
              <w:widowControl w:val="false"/>
              <w:bidi w:val="0"/>
              <w:spacing w:lineRule="auto" w:line="276" w:before="0" w:after="200"/>
              <w:rPr/>
            </w:pPr>
            <w:r>
              <w:rPr>
                <w:rFonts w:cs="Calibri"/>
                <w:color w:val="000000"/>
                <w:sz w:val="18"/>
                <w:szCs w:val="18"/>
              </w:rPr>
              <w:t xml:space="preserve">Type: Virtual Machine Scaleset </w:t>
              <w:br/>
              <w:t xml:space="preserve">Location: northeurope </w:t>
              <w:br/>
              <w:t xml:space="preserve">ResourceGroup: NBSBgIqe1 </w:t>
              <w:br/>
              <w:t xml:space="preserve">VmSize: Standard_D3_v2 </w:t>
              <w:br/>
              <w:t xml:space="preserve">Instances: 5 </w:t>
              <w:br/>
              <w:t xml:space="preserve">Tier: Standard </w:t>
              <w:br/>
              <w:t xml:space="preserve">OSVersion: WindowsServer 2012-R2-Datacenter </w:t>
              <w:br/>
              <w:t xml:space="preserve">Disks: http://nbsbgiqe1st2.blob.core.windows.net/vhds </w:t>
              <w:br/>
              <w:t xml:space="preserve">Extension [nt1vm_ServiceFabricNode] Name: nt1vm_ServiceFabricNode </w:t>
              <w:br/>
              <w:t xml:space="preserve">Extension [nt1vm_ServiceFabricNode] Type: ServiceFabricNode </w:t>
              <w:br/>
              <w:t xml:space="preserve">Extension [nt1vm_ServiceFabricNode] Publisher: Microsoft.Azure.ServiceFabric </w:t>
              <w:br/>
              <w:t xml:space="preserve">Extension [nt1vm_ServiceFabricNode] TypeHandlerVersion: 1.0 </w:t>
              <w:br/>
              <w:t xml:space="preserve">Extension [VMDiagnosticsVmExtnt1vm] Name: VMDiagnosticsVmExtnt1vm </w:t>
              <w:br/>
              <w:t xml:space="preserve">Extension [VMDiagnosticsVmExtnt1vm] Type: IaaSDiagnostics </w:t>
              <w:br/>
              <w:t xml:space="preserve">Extension [VMDiagnosticsVmExtnt1vm] Publisher: Microsoft.Azure.Diagnostics </w:t>
              <w:br/>
              <w:t xml:space="preserve">Extension [VMDiagnosticsVmExtnt1vm] TypeHandlerVersion: 1.5 </w:t>
              <w:br/>
              <w:t xml:space="preserve">Extension [runCustomScripts] Name: runCustomScripts </w:t>
              <w:br/>
              <w:t xml:space="preserve">Extension [runCustomScripts] Type: CustomScriptExtension </w:t>
              <w:br/>
              <w:t xml:space="preserve">Extension [runCustomScripts] Publisher: Microsoft.Compute </w:t>
              <w:br/>
              <w:t xml:space="preserve">Extension [runCustomScripts] TypeHandlerVersion: 1.4 </w:t>
              <w:br/>
              <w:t>Network Interface: nbsbgiqe1NIC1-0</w:t>
              <w:br/>
              <w:t xml:space="preserve">AdminUsername: SolidsoftNBS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widowControl w:val="false"/>
              <w:bidi w:val="0"/>
              <w:spacing w:lineRule="auto" w:line="276" w:before="0" w:after="200"/>
              <w:rPr/>
            </w:pPr>
            <w:r>
              <w:rPr>
                <w:rFonts w:cs="Calibri"/>
                <w:color w:val="000000"/>
                <w:sz w:val="18"/>
                <w:szCs w:val="18"/>
              </w:rPr>
              <w:t xml:space="preserve">Type: Virtual Machine Scaleset </w:t>
              <w:br/>
              <w:t xml:space="preserve">Location: northeurope </w:t>
              <w:br/>
              <w:t xml:space="preserve">ResourceGroup: NBSBgIqe1 </w:t>
              <w:br/>
              <w:t xml:space="preserve">VmSize: Standard_D3_v2 </w:t>
              <w:br/>
              <w:t xml:space="preserve">Instances: 5 </w:t>
              <w:br/>
              <w:t xml:space="preserve">Tier: Standard </w:t>
              <w:br/>
              <w:t xml:space="preserve">OSVersion: WindowsServer 2012-R2-Datacenter </w:t>
              <w:br/>
              <w:t xml:space="preserve">Disks: http://nbsbgiqe1st2.blob.core.windows.net/vhds </w:t>
              <w:br/>
              <w:t xml:space="preserve">Extension [nt1vm_ServiceFabricNode] Name: nt1vm_ServiceFabricNode </w:t>
              <w:br/>
              <w:t xml:space="preserve">Extension [nt1vm_ServiceFabricNode] Type: ServiceFabricNode </w:t>
              <w:br/>
              <w:t xml:space="preserve">Extension [nt1vm_ServiceFabricNode] Publisher: Microsoft.Azure.ServiceFabric </w:t>
              <w:br/>
              <w:t xml:space="preserve">Extension [nt1vm_ServiceFabricNode] TypeHandlerVersion: 1.0 </w:t>
              <w:br/>
              <w:t xml:space="preserve">Extension [VMDiagnosticsVmExtnt1vm] Name: VMDiagnosticsVmExtnt1vm </w:t>
              <w:br/>
              <w:t xml:space="preserve">Extension [VMDiagnosticsVmExtnt1vm] Type: IaaSDiagnostics </w:t>
              <w:br/>
              <w:t xml:space="preserve">Extension [VMDiagnosticsVmExtnt1vm] Publisher: Microsoft.Azure.Diagnostics </w:t>
              <w:br/>
              <w:t xml:space="preserve">Extension [VMDiagnosticsVmExtnt1vm] TypeHandlerVersion: 1.5 </w:t>
              <w:br/>
              <w:t xml:space="preserve">Extension [runCustomScripts] Name: runCustomScripts </w:t>
              <w:br/>
              <w:t xml:space="preserve">Extension [runCustomScripts] Type: CustomScriptExtension </w:t>
              <w:br/>
              <w:t xml:space="preserve">Extension [runCustomScripts] Publisher: Microsoft.Compute </w:t>
              <w:br/>
              <w:t xml:space="preserve">Extension [runCustomScripts] TypeHandlerVersion: 1.4 </w:t>
              <w:br/>
              <w:t>Network Interface: nbsbgiqe1NIC1-0</w:t>
              <w:br/>
              <w:t xml:space="preserve">AdminUsername: SolidsoftNBS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nbsaudit</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Event Hubs </w:t>
              <w:br/>
              <w:t xml:space="preserve">Namespace: nbsbgiqe1-nbs-audit </w:t>
              <w:br/>
              <w:t xml:space="preserve">Location: North Europe </w:t>
              <w:br/>
              <w:t xml:space="preserve">ResourceGroup: NBSBgIqe1 </w:t>
              <w:br/>
              <w:t xml:space="preserve">Message Retention(Days): 7 </w:t>
              <w:br/>
              <w:t xml:space="preserve">Event Hub Status: Active </w:t>
              <w:br/>
              <w:t xml:space="preserve">Partitions: 4 </w:t>
              <w:br/>
              <w:t xml:space="preserve">Sku Name: Standard  </w:t>
              <w:br/>
              <w:t xml:space="preserve">Sku Capacity: 1  </w:t>
              <w:br/>
              <w:t xml:space="preserve">Sku Tier: Standard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Event Hubs </w:t>
              <w:br/>
              <w:t xml:space="preserve">Namespace: nbsbgiqe1-nbs-audit </w:t>
              <w:br/>
              <w:t xml:space="preserve">Location: North Europe </w:t>
              <w:br/>
              <w:t xml:space="preserve">ResourceGroup: NBSBgIqe1 </w:t>
              <w:br/>
              <w:t xml:space="preserve">Message Retention(Days): 7 </w:t>
              <w:br/>
              <w:t xml:space="preserve">Event Hub Status: Active </w:t>
              <w:br/>
              <w:t xml:space="preserve">Partitions: 4 </w:t>
              <w:br/>
              <w:t xml:space="preserve">Sku Name: Standard  </w:t>
              <w:br/>
              <w:t xml:space="preserve">Sku Capacity: 1  </w:t>
              <w:br/>
              <w:t xml:space="preserve">Sku Tier: Standard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nbsbgiqe1IdKV</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Key Vault </w:t>
              <w:br/>
              <w:t xml:space="preserve">Name: nbsbgiqe1IdKV </w:t>
              <w:br/>
              <w:t xml:space="preserve">Location: northeurope </w:t>
              <w:br/>
              <w:t>ResourceGroup: NBSBgIqe1</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Key Vault </w:t>
              <w:br/>
              <w:t xml:space="preserve">Name: nbsbgiqe1IdKV </w:t>
              <w:br/>
              <w:t xml:space="preserve">Location: northeurope </w:t>
              <w:br/>
              <w:t>ResourceGroup: NBSBgIqe1</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nbsbgiqe1-config-document-db</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Document Db </w:t>
              <w:br/>
              <w:t xml:space="preserve">Namespace: nbsbgiqe1-config-document-db </w:t>
              <w:br/>
              <w:t xml:space="preserve">Location: North Europe </w:t>
              <w:br/>
              <w:t xml:space="preserve">ResourceGroup: NBSBgIqe1 </w:t>
              <w:br/>
              <w:t xml:space="preserve">Database Account Offer Type: Standard </w:t>
              <w:br/>
              <w:t xml:space="preserve">Throughput:  </w:t>
              <w:br/>
              <w:t xml:space="preserve">Default Consistency Level: BoundedStaleness  </w:t>
              <w:br/>
              <w:t xml:space="preserve">Max Interval(sec): 300  </w:t>
              <w:br/>
              <w:t xml:space="preserve">Max Staleness Prefix: 100000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Document Db </w:t>
              <w:br/>
              <w:t xml:space="preserve">Namespace: nbsbgiqe1-config-document-db </w:t>
              <w:br/>
              <w:t xml:space="preserve">Location: North Europe </w:t>
              <w:br/>
              <w:t xml:space="preserve">ResourceGroup: NBSBgIqe1 </w:t>
              <w:br/>
              <w:t xml:space="preserve">Database Account Offer Type: Standard </w:t>
              <w:br/>
              <w:t xml:space="preserve">Throughput:  </w:t>
              <w:br/>
              <w:t xml:space="preserve">Default Consistency Level: BoundedStaleness  </w:t>
              <w:br/>
              <w:t xml:space="preserve">Max Interval(sec): 300  </w:t>
              <w:br/>
              <w:t xml:space="preserve">Max Staleness Prefix: 100000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nbsbgiqe1-document-db</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Document Db </w:t>
              <w:br/>
              <w:t xml:space="preserve">Namespace: nbsbgiqe1-document-db </w:t>
              <w:br/>
              <w:t xml:space="preserve">Location: North Europe </w:t>
              <w:br/>
              <w:t xml:space="preserve">ResourceGroup: NBSBgIqe1 </w:t>
              <w:br/>
              <w:t xml:space="preserve">Database Account Offer Type: Standard </w:t>
              <w:br/>
              <w:t xml:space="preserve">Throughput:  </w:t>
              <w:br/>
              <w:t xml:space="preserve">Default Consistency Level: Session  </w:t>
              <w:br/>
              <w:t xml:space="preserve">Max Interval(sec): 5  </w:t>
              <w:br/>
              <w:t xml:space="preserve">Max Staleness Prefix: 100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Document Db </w:t>
              <w:br/>
              <w:t xml:space="preserve">Namespace: nbsbgiqe1-document-db </w:t>
              <w:br/>
              <w:t xml:space="preserve">Location: North Europe </w:t>
              <w:br/>
              <w:t xml:space="preserve">ResourceGroup: NBSBgIqe1 </w:t>
              <w:br/>
              <w:t xml:space="preserve">Database Account Offer Type: Standard </w:t>
              <w:br/>
              <w:t xml:space="preserve">Throughput:  </w:t>
              <w:br/>
              <w:t xml:space="preserve">Default Consistency Level: Session  </w:t>
              <w:br/>
              <w:t xml:space="preserve">Max Interval(sec): 5  </w:t>
              <w:br/>
              <w:t xml:space="preserve">Max Staleness Prefix: 100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nbsbgiqe1-exception-document-db</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Document Db </w:t>
              <w:br/>
              <w:t xml:space="preserve">Namespace: nbsbgiqe1-exception-document-db </w:t>
              <w:br/>
              <w:t xml:space="preserve">Location: North Europe </w:t>
              <w:br/>
              <w:t xml:space="preserve">ResourceGroup: NBSBgIqe1 </w:t>
              <w:br/>
              <w:t xml:space="preserve">Database Account Offer Type: Standard </w:t>
              <w:br/>
              <w:t xml:space="preserve">Throughput:  </w:t>
              <w:br/>
              <w:t xml:space="preserve">Default Consistency Level: BoundedStaleness  </w:t>
              <w:br/>
              <w:t xml:space="preserve">Max Interval(sec): 300  </w:t>
              <w:br/>
              <w:t xml:space="preserve">Max Staleness Prefix: 100000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Document Db </w:t>
              <w:br/>
              <w:t xml:space="preserve">Namespace: nbsbgiqe1-exception-document-db </w:t>
              <w:br/>
              <w:t xml:space="preserve">Location: North Europe </w:t>
              <w:br/>
              <w:t xml:space="preserve">ResourceGroup: NBSBgIqe1 </w:t>
              <w:br/>
              <w:t xml:space="preserve">Database Account Offer Type: Standard </w:t>
              <w:br/>
              <w:t xml:space="preserve">Throughput:  </w:t>
              <w:br/>
              <w:t xml:space="preserve">Default Consistency Level: BoundedStaleness  </w:t>
              <w:br/>
              <w:t xml:space="preserve">Max Interval(sec): 300  </w:t>
              <w:br/>
              <w:t xml:space="preserve">Max Staleness Prefix: 100000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nbsbgiqe1tm</w:t>
            </w:r>
          </w:p>
        </w:tc>
        <w:tc>
          <w:tcPr>
            <w:tcW w:w="4705" w:type="dxa"/>
            <w:gridSpan w:val="2"/>
            <w:tcBorders>
              <w:top w:val="single" w:sz="4" w:space="0" w:color="000000"/>
              <w:left w:val="single" w:sz="4" w:space="0" w:color="000000"/>
              <w:bottom w:val="single" w:sz="4" w:space="0" w:color="000000"/>
            </w:tcBorders>
            <w:shd w:fill="DBE5F1"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 xml:space="preserve">Type: Traffic Manager Profile </w:t>
              <w:br/>
              <w:t xml:space="preserve">Namespace: nbsbgiqe1tm </w:t>
              <w:br/>
              <w:t xml:space="preserve">Location:  </w:t>
              <w:br/>
              <w:t xml:space="preserve">ResourceGroup: NBSBgIqe1 </w:t>
              <w:br/>
              <w:t xml:space="preserve">Name: nbsbgiqe1tm </w:t>
              <w:br/>
              <w:t xml:space="preserve">RelativeDnsName: nbsbgiqe1 </w:t>
              <w:br/>
              <w:t xml:space="preserve">Ttl: 300 </w:t>
              <w:br/>
              <w:t xml:space="preserve">ProfileStatus: Enabled </w:t>
              <w:br/>
              <w:t xml:space="preserve">TrafficRoutingMethod: Priority </w:t>
              <w:br/>
              <w:t xml:space="preserve">MonitorProtocol: HTTPS </w:t>
              <w:br/>
              <w:t xml:space="preserve">MonitorPort: 8640 </w:t>
              <w:br/>
              <w:t xml:space="preserve">MonitorPath: /Home/Error </w:t>
              <w:br/>
              <w:t xml:space="preserve">Endpoints[0].Name: sfpublicipaddress </w:t>
              <w:br/>
              <w:t xml:space="preserve">Endpoints[0].ProfileName: nbsbgiqe1tm </w:t>
              <w:br/>
              <w:t xml:space="preserve">Endpoints[0].ResourceGroupName: NBSBgIqe1 </w:t>
              <w:br/>
              <w:t xml:space="preserve">Endpoints[0].Target: nbsbgiqe1appgateway.northeurope.cloudapp.azure.com </w:t>
              <w:br/>
              <w:t xml:space="preserve">Endpoints[0].EndpointStatus: Enabled </w:t>
              <w:br/>
              <w:t xml:space="preserve">Endpoints[0].Weight: 1 </w:t>
              <w:br/>
              <w:t xml:space="preserve">Endpoints[0].Priority: 1 </w:t>
              <w:br/>
              <w:t xml:space="preserve">Endpoints[0].EndpointMonitorStatus: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 xml:space="preserve">Type: Traffic Manager Profile </w:t>
              <w:br/>
              <w:t xml:space="preserve">Namespace: nbsbgiqe1tm </w:t>
              <w:br/>
              <w:t xml:space="preserve">Location:  </w:t>
              <w:br/>
              <w:t xml:space="preserve">ResourceGroup: NBSBgIqe1 </w:t>
              <w:br/>
              <w:t xml:space="preserve">Name: nbsbgiqe1tm </w:t>
              <w:br/>
              <w:t xml:space="preserve">RelativeDnsName: nbsbgiqe1 </w:t>
              <w:br/>
              <w:t xml:space="preserve">Ttl: 300 </w:t>
              <w:br/>
              <w:t xml:space="preserve">ProfileStatus: Enabled </w:t>
              <w:br/>
              <w:t xml:space="preserve">TrafficRoutingMethod: Priority </w:t>
              <w:br/>
              <w:t xml:space="preserve">MonitorProtocol: HTTPS </w:t>
              <w:br/>
              <w:t xml:space="preserve">MonitorPort: 8640 </w:t>
              <w:br/>
              <w:t xml:space="preserve">MonitorPath: /Home/Error </w:t>
              <w:br/>
              <w:t xml:space="preserve">Endpoints[0].Name: sfpublicipaddress </w:t>
              <w:br/>
              <w:t xml:space="preserve">Endpoints[0].ProfileName: nbsbgiqe1tm </w:t>
              <w:br/>
              <w:t xml:space="preserve">Endpoints[0].ResourceGroupName: NBSBgIqe1 </w:t>
              <w:br/>
              <w:t xml:space="preserve">Endpoints[0].Target: nbsbgiqe1appgateway.northeurope.cloudapp.azure.com </w:t>
              <w:br/>
              <w:t xml:space="preserve">Endpoints[0].EndpointStatus: Enabled </w:t>
              <w:br/>
              <w:t xml:space="preserve">Endpoints[0].Weight: 1 </w:t>
              <w:br/>
              <w:t xml:space="preserve">Endpoints[0].Priority: 1 </w:t>
              <w:br/>
              <w:t xml:space="preserve">Endpoints[0].EndpointMonitorStatus: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nbsbgiqe1PublicIP-LB-FE-0</w:t>
            </w:r>
          </w:p>
        </w:tc>
        <w:tc>
          <w:tcPr>
            <w:tcW w:w="4705" w:type="dxa"/>
            <w:gridSpan w:val="2"/>
            <w:tcBorders>
              <w:top w:val="single" w:sz="4" w:space="0" w:color="000000"/>
              <w:left w:val="single" w:sz="4" w:space="0" w:color="000000"/>
              <w:bottom w:val="single" w:sz="4" w:space="0" w:color="000000"/>
            </w:tcBorders>
            <w:shd w:fill="DBE5F1" w:val="clear"/>
          </w:tcPr>
          <w:p>
            <w:pPr>
              <w:pStyle w:val="Normal"/>
              <w:widowControl w:val="false"/>
              <w:bidi w:val="0"/>
              <w:spacing w:lineRule="auto" w:line="276" w:before="0" w:after="200"/>
              <w:rPr/>
            </w:pPr>
            <w:r>
              <w:rPr>
                <w:rFonts w:cs="Calibri"/>
                <w:color w:val="000000"/>
                <w:sz w:val="18"/>
                <w:szCs w:val="18"/>
              </w:rPr>
              <w:t xml:space="preserve">Type: Public IP Address </w:t>
              <w:br/>
              <w:t xml:space="preserve">Namespace: nbsbgiqe1PublicIP-LB-FE-0 </w:t>
              <w:br/>
              <w:t xml:space="preserve">Location: northeurope </w:t>
              <w:br/>
              <w:t xml:space="preserve">ResourceGroup: NBSBgIqe1 </w:t>
              <w:br/>
              <w:t xml:space="preserve">Name: nbsbgiqe1PublicIP-LB-FE-0 </w:t>
              <w:br/>
              <w:t xml:space="preserve">PublicIpAllocationMethod: Static </w:t>
              <w:br/>
              <w:t xml:space="preserve">IpConfiguration: Microsoft.Azure.Commands.Network.Models.PSIPConfiguration </w:t>
              <w:br/>
              <w:t xml:space="preserve">DnsSettings: Microsoft.Azure.Commands.Network.Models.PSPublicIpAddressDnsSettings </w:t>
              <w:br/>
              <w:t xml:space="preserve">IpAddress: 52.138.176.1.187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widowControl w:val="false"/>
              <w:bidi w:val="0"/>
              <w:spacing w:lineRule="auto" w:line="276" w:before="0" w:after="200"/>
              <w:rPr/>
            </w:pPr>
            <w:r>
              <w:rPr>
                <w:rFonts w:cs="Calibri"/>
                <w:color w:val="000000"/>
                <w:sz w:val="18"/>
                <w:szCs w:val="18"/>
              </w:rPr>
              <w:t xml:space="preserve">Type: Public IP Address </w:t>
              <w:br/>
              <w:t xml:space="preserve">Namespace: nbsbgiqe1PublicIP-LB-FE-0 </w:t>
              <w:br/>
              <w:t xml:space="preserve">Location: northeurope </w:t>
              <w:br/>
              <w:t xml:space="preserve">ResourceGroup: NBSBgIqe1 </w:t>
              <w:br/>
              <w:t xml:space="preserve">Name: nbsbgiqe1PublicIP-LB-FE-0 </w:t>
              <w:br/>
              <w:t xml:space="preserve">PublicIpAllocationMethod: Static </w:t>
              <w:br/>
              <w:t xml:space="preserve">IpConfiguration: Microsoft.Azure.Commands.Network.Models.PSIPConfiguration </w:t>
              <w:br/>
              <w:t xml:space="preserve">DnsSettings: Microsoft.Azure.Commands.Network.Models.PSPublicIpAddressDnsSettings </w:t>
              <w:br/>
              <w:t xml:space="preserve">IpAddress: 52.138.176.1.187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nbsbgiqe1PublicIP-LB-FE-1</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Public IP Address </w:t>
              <w:br/>
              <w:t xml:space="preserve">Namespace: nbsbgiqe1PublicIP-LB-FE-1 </w:t>
              <w:br/>
              <w:t xml:space="preserve">Location: northeurope </w:t>
              <w:br/>
              <w:t xml:space="preserve">ResourceGroup: NBSBgIqe1 </w:t>
              <w:br/>
              <w:t xml:space="preserve">Name: nbsbgiqe1PublicIP-LB-FE-1 </w:t>
              <w:br/>
              <w:t xml:space="preserve">PublicIpAllocationMethod: Dynamic </w:t>
              <w:br/>
              <w:t xml:space="preserve">IpConfiguration: Microsoft.Azure.Commands.Network.Models.PSIPConfiguration </w:t>
              <w:br/>
              <w:t xml:space="preserve">DnsSettings: Microsoft.Azure.Commands.Network.Models.PSPublicIpAddressDnsSettings </w:t>
              <w:br/>
              <w:t xml:space="preserve">IpAddress: 52.138.179.97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Public IP Address </w:t>
              <w:br/>
              <w:t xml:space="preserve">Namespace: nbsbgiqe1PublicIP-LB-FE-1 </w:t>
              <w:br/>
              <w:t xml:space="preserve">Location: northeurope </w:t>
              <w:br/>
              <w:t xml:space="preserve">ResourceGroup: NBSBgIqe1 </w:t>
              <w:br/>
              <w:t xml:space="preserve">Name: nbsbgiqe1PublicIP-LB-FE-1 </w:t>
              <w:br/>
              <w:t xml:space="preserve">PublicIpAllocationMethod: Dynamic </w:t>
              <w:br/>
              <w:t xml:space="preserve">IpConfiguration: Microsoft.Azure.Commands.Network.Models.PSIPConfiguration </w:t>
              <w:br/>
              <w:t xml:space="preserve">DnsSettings: Microsoft.Azure.Commands.Network.Models.PSPublicIpAddressDnsSettings </w:t>
              <w:br/>
              <w:t xml:space="preserve">IpAddress: 52.138.179.97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trHeight w:val="4037" w:hRule="atLeast"/>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nbsbgiqe1PublicIP-LB-FE-2</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Public IP Address </w:t>
              <w:br/>
              <w:t xml:space="preserve">Namespace: nbsbgiqe1PublicIP-LB-FE-2 </w:t>
              <w:br/>
              <w:t xml:space="preserve">Location: northeurope </w:t>
              <w:br/>
              <w:t xml:space="preserve">ResourceGroup: NBSBgIqe1 </w:t>
              <w:br/>
              <w:t xml:space="preserve">Name: nbsbgiqe1PublicIP-LB-FE-2 </w:t>
              <w:br/>
              <w:t xml:space="preserve">PublicIpAllocationMethod: Dynamic </w:t>
              <w:br/>
              <w:t xml:space="preserve">IpConfiguration: Microsoft.Azure.Commands.Network.Models.PSIPConfiguration </w:t>
              <w:br/>
              <w:t xml:space="preserve">DnsSettings: Microsoft.Azure.Commands.Network.Models.PSPublicIpAddressDnsSettings </w:t>
              <w:br/>
              <w:t xml:space="preserve">IpAddress: Not Assigned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Public IP Address </w:t>
              <w:br/>
              <w:t xml:space="preserve">Namespace: nbsbgiqe1PublicIP-LB-FE-2 </w:t>
              <w:br/>
              <w:t xml:space="preserve">Location: northeurope </w:t>
              <w:br/>
              <w:t xml:space="preserve">ResourceGroup: NBSBgIqe1 </w:t>
              <w:br/>
              <w:t xml:space="preserve">Name: nbsbgiqe1PublicIP-LB-FE-2 </w:t>
              <w:br/>
              <w:t xml:space="preserve">PublicIpAllocationMethod: Dynamic </w:t>
              <w:br/>
              <w:t xml:space="preserve">IpConfiguration: Microsoft.Azure.Commands.Network.Models.PSIPConfiguration </w:t>
              <w:br/>
              <w:t xml:space="preserve">DnsSettings: Microsoft.Azure.Commands.Network.Models.PSPublicIpAddressDnsSettings </w:t>
              <w:br/>
              <w:t xml:space="preserve">IpAddress: Not Assigned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bCs/>
                <w:color w:val="000000"/>
                <w:sz w:val="16"/>
                <w:szCs w:val="16"/>
                <w:lang w:eastAsia="en-GB"/>
              </w:rPr>
            </w:pPr>
            <w:r>
              <w:rPr>
                <w:rFonts w:cs="Calibri"/>
                <w:bCs/>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nbsbgiqe1PublicIP-LB-FE-appGateWay</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Public IP Address </w:t>
              <w:br/>
              <w:t xml:space="preserve">Namespace: nbsbgiqe1PublicIP-LB-FE-appGateWay </w:t>
              <w:br/>
              <w:t xml:space="preserve">Location: northeurope </w:t>
              <w:br/>
              <w:t xml:space="preserve">ResourceGroup: NBSBgIqe1 </w:t>
              <w:br/>
              <w:t xml:space="preserve">Name: nbsbgiqe1PublicIP-LB-FE-appGateWay </w:t>
              <w:br/>
              <w:t xml:space="preserve">PublicIpAllocationMethod: Dynamic </w:t>
              <w:br/>
              <w:t xml:space="preserve">IpConfiguration: Microsoft.Azure.Commands.Network.Models.PSIPConfiguration </w:t>
              <w:br/>
              <w:t xml:space="preserve">DnsSettings: Microsoft.Azure.Commands.Network.Models.PSPublicIpAddressDnsSettings </w:t>
              <w:br/>
              <w:t xml:space="preserve">IpAddress: 40.113.76.230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Public IP Address </w:t>
              <w:br/>
              <w:t xml:space="preserve">Namespace: nbsbgiqe1PublicIP-LB-FE-appGateWay </w:t>
              <w:br/>
              <w:t xml:space="preserve">Location: northeurope </w:t>
              <w:br/>
              <w:t xml:space="preserve">ResourceGroup: NBSBgIqe1 </w:t>
              <w:br/>
              <w:t xml:space="preserve">Name: nbsbgiqe1PublicIP-LB-FE-appGateWay </w:t>
              <w:br/>
              <w:t xml:space="preserve">PublicIpAllocationMethod: Dynamic </w:t>
              <w:br/>
              <w:t xml:space="preserve">IpConfiguration: Microsoft.Azure.Commands.Network.Models.PSIPConfiguration </w:t>
              <w:br/>
              <w:t xml:space="preserve">DnsSettings: Microsoft.Azure.Commands.Network.Models.PSPublicIpAddressDnsSettings </w:t>
              <w:br/>
              <w:t xml:space="preserve">IpAddress: 40.113.76.230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trHeight w:val="7715" w:hRule="atLeast"/>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LB-nbsbgiqe1-nt0vm</w:t>
            </w:r>
          </w:p>
        </w:tc>
        <w:tc>
          <w:tcPr>
            <w:tcW w:w="2351"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8"/>
                <w:szCs w:val="10"/>
              </w:rPr>
            </w:pPr>
            <w:r>
              <w:rPr>
                <w:rFonts w:cs="Calibri"/>
                <w:color w:val="000000"/>
                <w:sz w:val="8"/>
                <w:szCs w:val="10"/>
              </w:rPr>
              <w:t xml:space="preserve">Type: Load Balancer </w:t>
              <w:br/>
              <w:t xml:space="preserve">Name: LB-nbsbgiqe1-nt0vm </w:t>
              <w:br/>
              <w:t xml:space="preserve">Location: northeurope </w:t>
              <w:br/>
              <w:t xml:space="preserve">ResourceGroup: NBSBgIqe1 </w:t>
              <w:br/>
              <w:t xml:space="preserve">FrontendIpConfigurations[0].Name: LoadBalancerIPConfig </w:t>
              <w:br/>
              <w:t xml:space="preserve">FrontendIpConfigurations[0].PrivateIpAddress:  </w:t>
              <w:br/>
              <w:t xml:space="preserve">FrontendIpConfigurations[0].PrivateIpAddressAllocationMethod:  </w:t>
              <w:br/>
              <w:t xml:space="preserve">FrontendIpConfigurations[0].PublicIpAddress: Microsoft.Azure.Commands.Network.Models.PSPublicIpAddress </w:t>
              <w:br/>
              <w:t xml:space="preserve">BackendAddressPools[0].Name: LoadBalancerBEAddressPool </w:t>
              <w:br/>
              <w:t xml:space="preserve">LoadBalancingRules[0].Name: LBRule </w:t>
              <w:br/>
              <w:t xml:space="preserve">LoadBalancingRules[0].FrontendPort: 19000 </w:t>
              <w:br/>
              <w:t xml:space="preserve">LoadBalancingRules[0].BackendPort: 19000 </w:t>
              <w:br/>
              <w:t xml:space="preserve">LoadBalancingRules[0].Protocol: Tcp </w:t>
              <w:br/>
              <w:t xml:space="preserve">LoadBalancingRules[0].IdleTimeoutInMininutes:  </w:t>
              <w:br/>
              <w:t xml:space="preserve">LoadBalancingRules[0].EnableFloatingIP: False </w:t>
              <w:br/>
              <w:t xml:space="preserve">LoadBalancingRules[1].Name: LBHttpRule </w:t>
              <w:br/>
              <w:t xml:space="preserve">LoadBalancingRules[1].FrontendPort: 19080 </w:t>
              <w:br/>
              <w:t xml:space="preserve">LoadBalancingRules[1].BackendPort: 19080 </w:t>
              <w:br/>
              <w:t xml:space="preserve">LoadBalancingRules[1].Protocol: Tcp </w:t>
              <w:br/>
              <w:t xml:space="preserve">LoadBalancingRules[1].IdleTimeoutInMininutes:  </w:t>
              <w:br/>
              <w:t xml:space="preserve">LoadBalancingRules[1].EnableFloatingIP: False </w:t>
              <w:br/>
              <w:t xml:space="preserve">LoadBalancingRules[2].Name: webHttpsRule </w:t>
              <w:br/>
              <w:t xml:space="preserve">LoadBalancingRules[2].FrontendPort: 443 </w:t>
              <w:br/>
              <w:t xml:space="preserve">LoadBalancingRules[2].BackendPort: 443 </w:t>
              <w:br/>
              <w:t xml:space="preserve">LoadBalancingRules[2].Protocol: Tcp </w:t>
              <w:br/>
              <w:t xml:space="preserve">LoadBalancingRules[2].IdleTimeoutInMininutes:  </w:t>
              <w:br/>
              <w:t xml:space="preserve">LoadBalancingRules[2].EnableFloatingIP: False </w:t>
              <w:br/>
              <w:t xml:space="preserve">LoadBalancingRules[3].Name: identityServerRule </w:t>
              <w:br/>
              <w:t xml:space="preserve">LoadBalancingRules[3].FrontendPort: 8637 </w:t>
              <w:br/>
              <w:t xml:space="preserve">LoadBalancingRules[3].BackendPort: 8637 </w:t>
              <w:br/>
              <w:t xml:space="preserve">LoadBalancingRules[3].Protocol: Tcp </w:t>
              <w:br/>
              <w:t xml:space="preserve">LoadBalancingRules[3].IdleTimeoutInMininutes:  </w:t>
              <w:br/>
              <w:t xml:space="preserve">LoadBalancingRules[3].EnableFloatingIP: False </w:t>
              <w:br/>
              <w:t xml:space="preserve">LoadBalancingRules[4].Name: emergencyPortalRule </w:t>
              <w:br/>
              <w:t xml:space="preserve">LoadBalancingRules[4].FrontendPort: 8641 </w:t>
              <w:br/>
              <w:t xml:space="preserve">LoadBalancingRules[4].BackendPort: 8641 </w:t>
              <w:br/>
              <w:t xml:space="preserve">LoadBalancingRules[4].Protocol: Tcp </w:t>
              <w:br/>
              <w:t xml:space="preserve">LoadBalancingRules[4].IdleTimeoutInMininutes:  </w:t>
              <w:br/>
              <w:t xml:space="preserve">LoadBalancingRules[4].EnableFloatingIP: False </w:t>
              <w:br/>
              <w:t xml:space="preserve">LoadBalancingRules[5].Name: adminPortalRule </w:t>
              <w:br/>
              <w:t xml:space="preserve">LoadBalancingRules[5].FrontendPort: 8640 </w:t>
              <w:br/>
              <w:t xml:space="preserve">LoadBalancingRules[5].BackendPort: 8640 </w:t>
              <w:br/>
              <w:t xml:space="preserve">LoadBalancingRules[5].Protocol: Tcp </w:t>
              <w:br/>
              <w:t xml:space="preserve">LoadBalancingRules[5].IdleTimeoutInMininutes:  </w:t>
              <w:br/>
              <w:t xml:space="preserve">LoadBalancingRules[5].EnableFloatingIP: False </w:t>
              <w:br/>
              <w:t xml:space="preserve">LoadBalancingRules[6].Name: localOrganisationRule </w:t>
              <w:br/>
              <w:t xml:space="preserve">LoadBalancingRules[6].FrontendPort: 8978 </w:t>
              <w:br/>
              <w:t xml:space="preserve">LoadBalancingRules[6].BackendPort: 8978 </w:t>
              <w:br/>
              <w:t xml:space="preserve">LoadBalancingRules[6].Protocol: Tcp </w:t>
              <w:br/>
              <w:t xml:space="preserve">LoadBalancingRules[6].IdleTimeoutInMininutes:  </w:t>
              <w:br/>
              <w:t xml:space="preserve">LoadBalancingRules[6].EnableFloatingIP: False </w:t>
              <w:br/>
              <w:t xml:space="preserve">LoadBalancingRules[7].Name: usersAdminApiRule </w:t>
              <w:br/>
              <w:t xml:space="preserve">LoadBalancingRules[7].FrontendPort: 8317 </w:t>
              <w:br/>
              <w:t xml:space="preserve">LoadBalancingRules[7].BackendPort: 8317 </w:t>
              <w:br/>
              <w:t xml:space="preserve">LoadBalancingRules[7].Protocol: Tcp </w:t>
              <w:br/>
              <w:t xml:space="preserve">LoadBalancingRules[7].IdleTimeoutInMininutes:  </w:t>
              <w:br/>
              <w:t xml:space="preserve">LoadBalancingRules[7].EnableFloatingIP: False </w:t>
              <w:br/>
              <w:t xml:space="preserve">LoadBalancingRules[8].Name: localOrganisationsAdminApiRule </w:t>
              <w:br/>
              <w:t xml:space="preserve">LoadBalancingRules[8].FrontendPort: 8258 </w:t>
              <w:br/>
              <w:t xml:space="preserve">LoadBalancingRules[8].BackendPort: 8258 </w:t>
              <w:br/>
              <w:t xml:space="preserve">LoadBalancingRules[8].Protocol: Tcp </w:t>
              <w:br/>
              <w:t xml:space="preserve">LoadBalancingRules[8].IdleTimeoutInMininutes:  </w:t>
              <w:br/>
              <w:t xml:space="preserve">LoadBalancingRules[8].EnableFloatingIP: False </w:t>
              <w:br/>
              <w:t xml:space="preserve">LoadBalancingRules[9].Name: clientCredentialsAdminApiRule </w:t>
              <w:br/>
              <w:t xml:space="preserve">LoadBalancingRules[9].FrontendPort: 8985 </w:t>
              <w:br/>
              <w:t xml:space="preserve">LoadBalancingRules[9].BackendPort: 8985 </w:t>
              <w:br/>
              <w:t xml:space="preserve">LoadBalancingRules[9].Protocol: Tcp </w:t>
              <w:br/>
              <w:t xml:space="preserve">LoadBalancingRules[9].IdleTimeoutInMininutes:  </w:t>
              <w:br/>
              <w:t xml:space="preserve">LoadBalancingRules[9].EnableFloatingIP: False </w:t>
              <w:br/>
              <w:t xml:space="preserve">LoadBalancingRules[10].Name: hubGatewayRule </w:t>
              <w:br/>
              <w:t xml:space="preserve">LoadBalancingRules[10].FrontendPort: 8201 </w:t>
              <w:br/>
              <w:t xml:space="preserve">LoadBalancingRules[10].BackendPort: 8201 </w:t>
              <w:br/>
              <w:t xml:space="preserve">LoadBalancingRules[10].Protocol: Tcp </w:t>
              <w:br/>
              <w:t xml:space="preserve">LoadBalancingRules[10].IdleTimeoutInMininutes:  </w:t>
              <w:br/>
              <w:t xml:space="preserve">LoadBalancingRules[10].EnableFloatingIP: False </w:t>
              <w:br/>
              <w:t xml:space="preserve">LoadBalancingRules[11].Name: intermarketServiceRule </w:t>
              <w:br/>
              <w:t xml:space="preserve">LoadBalancingRules[11].FrontendPort: 8202 </w:t>
              <w:br/>
              <w:t xml:space="preserve">LoadBalancingRules[11].BackendPort: 8202 </w:t>
              <w:br/>
              <w:t xml:space="preserve">LoadBalancingRules[11].Protocol: Tcp </w:t>
              <w:br/>
              <w:t xml:space="preserve">LoadBalancingRules[11].IdleTimeoutInMininutes:  </w:t>
              <w:br/>
              <w:t xml:space="preserve">LoadBalancingRules[11].EnableFloatingIP: False </w:t>
              <w:br/>
              <w:t xml:space="preserve">LoadBalancingRules[12].Name: reportApiRule </w:t>
              <w:br/>
              <w:t xml:space="preserve">LoadBalancingRules[12].FrontendPort: 8993 </w:t>
              <w:br/>
              <w:t xml:space="preserve">LoadBalancingRules[12].BackendPort: 8993 </w:t>
              <w:br/>
              <w:t xml:space="preserve">LoadBalancingRules[12].Protocol: Tcp </w:t>
              <w:br/>
              <w:t xml:space="preserve">LoadBalancingRules[12].IdleTimeoutInMininutes:  </w:t>
              <w:br/>
              <w:t xml:space="preserve">LoadBalancingRules[12].EnableFloatingIP: False </w:t>
              <w:br/>
              <w:t xml:space="preserve">Probes[0].Name: FabricGatewayProbe </w:t>
              <w:br/>
            </w:r>
          </w:p>
        </w:tc>
        <w:tc>
          <w:tcPr>
            <w:tcW w:w="2354" w:type="dxa"/>
            <w:tcBorders>
              <w:top w:val="single" w:sz="4" w:space="0" w:color="000000"/>
              <w:left w:val="single" w:sz="4" w:space="0" w:color="000000"/>
              <w:bottom w:val="single" w:sz="4" w:space="0" w:color="000000"/>
            </w:tcBorders>
            <w:shd w:fill="DBE5F1" w:val="clear"/>
          </w:tcPr>
          <w:p>
            <w:pPr>
              <w:pStyle w:val="Normal"/>
              <w:widowControl w:val="false"/>
              <w:bidi w:val="0"/>
              <w:spacing w:lineRule="auto" w:line="276" w:before="0" w:after="200"/>
              <w:rPr/>
            </w:pPr>
            <w:r>
              <w:rPr>
                <w:rFonts w:cs="Calibri"/>
                <w:color w:val="000000"/>
                <w:sz w:val="8"/>
                <w:szCs w:val="10"/>
              </w:rPr>
              <w:t xml:space="preserve">Probes[0].Port: 19000 </w:t>
              <w:br/>
              <w:t xml:space="preserve">Probes[0].Protocol: Tcp </w:t>
              <w:br/>
              <w:t xml:space="preserve">Probes[0].IntervalInSeconds: 5 </w:t>
              <w:br/>
              <w:t xml:space="preserve">Probes[0].NumberOfProbes: 2 </w:t>
              <w:br/>
              <w:t xml:space="preserve">Probes[0].RequestPath:  </w:t>
              <w:br/>
              <w:t xml:space="preserve">Probes[1].Name: FabricHttpGatewayProbe </w:t>
              <w:br/>
              <w:t xml:space="preserve">Probes[1].Port: 19080 </w:t>
              <w:br/>
              <w:t xml:space="preserve">Probes[1].Protocol: Tcp </w:t>
              <w:br/>
              <w:t xml:space="preserve">Probes[1].IntervalInSeconds: 5 </w:t>
              <w:br/>
              <w:t xml:space="preserve">Probes[1].NumberOfProbes: 2 </w:t>
              <w:br/>
              <w:t xml:space="preserve">Probes[1].RequestPath:  </w:t>
              <w:br/>
              <w:t xml:space="preserve">Probes[2].Name: webHttpsProbe </w:t>
              <w:br/>
              <w:t xml:space="preserve">Probes[2].Port: 443 </w:t>
              <w:br/>
              <w:t xml:space="preserve">Probes[2].Protocol: Tcp </w:t>
              <w:br/>
              <w:t xml:space="preserve">Probes[2].IntervalInSeconds: 5 </w:t>
              <w:br/>
              <w:t xml:space="preserve">Probes[2].NumberOfProbes: 2 </w:t>
              <w:br/>
              <w:t xml:space="preserve">Probes[2].RequestPath:  </w:t>
              <w:br/>
              <w:t xml:space="preserve">Probes[3].Name: identityServerProbe </w:t>
            </w:r>
            <w:r>
              <w:rPr>
                <w:rFonts w:cs="Calibri"/>
                <w:color w:val="000000"/>
                <w:sz w:val="4"/>
                <w:szCs w:val="10"/>
              </w:rPr>
              <w:br/>
            </w:r>
            <w:r>
              <w:rPr>
                <w:rFonts w:cs="Calibri"/>
                <w:color w:val="000000"/>
                <w:sz w:val="8"/>
                <w:szCs w:val="10"/>
              </w:rPr>
              <w:t xml:space="preserve">Probes[3].Port: 8637 </w:t>
              <w:br/>
              <w:t xml:space="preserve">Probes[3].Protocol: Tcp </w:t>
              <w:br/>
              <w:t xml:space="preserve">Probes[3].IntervalInSeconds: 5 </w:t>
              <w:br/>
              <w:t xml:space="preserve">Probes[3].NumberOfProbes: 2 </w:t>
              <w:br/>
              <w:t xml:space="preserve">Probes[3].RequestPath:  </w:t>
              <w:br/>
              <w:t xml:space="preserve">Probes[4].Name: localOrganisationProbe </w:t>
              <w:br/>
              <w:t xml:space="preserve">Probes[4].Port: 8978 </w:t>
              <w:br/>
              <w:t xml:space="preserve">Probes[4].Protocol: Tcp </w:t>
              <w:br/>
              <w:t xml:space="preserve">Probes[4].IntervalInSeconds: 5 </w:t>
              <w:br/>
              <w:t xml:space="preserve">Probes[4].NumberOfProbes: 2 </w:t>
              <w:br/>
              <w:t xml:space="preserve">Probes[4].RequestPath:  </w:t>
              <w:br/>
              <w:t xml:space="preserve">Probes[5].Name: emergencyPortalProbe </w:t>
              <w:br/>
              <w:t xml:space="preserve">Probes[5].Port: 8641 </w:t>
              <w:br/>
              <w:t xml:space="preserve">Probes[5].Protocol: Tcp </w:t>
              <w:br/>
              <w:t xml:space="preserve">Probes[5].IntervalInSeconds: 5 </w:t>
              <w:br/>
              <w:t xml:space="preserve">Probes[5].NumberOfProbes: 2 </w:t>
              <w:br/>
              <w:t xml:space="preserve">Probes[5].RequestPath:  </w:t>
              <w:br/>
              <w:t xml:space="preserve">Probes[6].Name: adminPortalProbe </w:t>
              <w:br/>
              <w:t xml:space="preserve">Probes[6].Port: 8640 </w:t>
              <w:br/>
              <w:t xml:space="preserve">Probes[6].Protocol: Tcp </w:t>
              <w:br/>
              <w:t xml:space="preserve">Probes[6].IntervalInSeconds: 5 </w:t>
              <w:br/>
              <w:t xml:space="preserve">Probes[6].NumberOfProbes: 2 </w:t>
              <w:br/>
              <w:t xml:space="preserve">Probes[6].RequestPath:  </w:t>
              <w:br/>
              <w:t xml:space="preserve">Probes[7].Name: usersAdminApiProbe </w:t>
              <w:br/>
              <w:t xml:space="preserve">Probes[7].Port: 8317 </w:t>
              <w:br/>
              <w:t xml:space="preserve">Probes[7].Protocol: Tcp </w:t>
              <w:br/>
              <w:t xml:space="preserve">Probes[7].IntervalInSeconds: 5 </w:t>
              <w:br/>
              <w:t xml:space="preserve">Probes[7].NumberOfProbes: 2 </w:t>
              <w:br/>
              <w:t xml:space="preserve">Probes[7].RequestPath:  </w:t>
              <w:br/>
              <w:t xml:space="preserve">Probes[8].Name: localOrganisationsAdminApiProbe </w:t>
              <w:br/>
              <w:t xml:space="preserve">Probes[8].Port: 8258 </w:t>
              <w:br/>
              <w:t xml:space="preserve">Probes[8].Protocol: Tcp </w:t>
              <w:br/>
              <w:t xml:space="preserve">Probes[8].IntervalInSeconds: 5 </w:t>
              <w:br/>
              <w:t xml:space="preserve">Probes[8].NumberOfProbes: 2 </w:t>
              <w:br/>
              <w:t xml:space="preserve">Probes[8].RequestPath:  </w:t>
              <w:br/>
              <w:t xml:space="preserve">Probes[9].Name: clientCredentialsAdminApiProbe </w:t>
              <w:br/>
              <w:t xml:space="preserve">Probes[9].Port: 8985 </w:t>
              <w:br/>
              <w:t xml:space="preserve">Probes[9].Protocol: Tcp </w:t>
              <w:br/>
              <w:t xml:space="preserve">Probes[9].IntervalInSeconds: 5 </w:t>
              <w:br/>
              <w:t xml:space="preserve">Probes[9].NumberOfProbes: 2 </w:t>
              <w:br/>
              <w:t xml:space="preserve">Probes[9].RequestPath:  </w:t>
              <w:br/>
              <w:t xml:space="preserve">Probes[10].Name: hubGatewayProbe </w:t>
              <w:br/>
              <w:t xml:space="preserve">Probes[10].Port: 8201 </w:t>
              <w:br/>
              <w:t xml:space="preserve">Probes[10].Protocol: Tcp </w:t>
              <w:br/>
              <w:t xml:space="preserve">Probes[10].IntervalInSeconds: 5 </w:t>
              <w:br/>
              <w:t xml:space="preserve">Probes[10].NumberOfProbes: 2 </w:t>
              <w:br/>
              <w:t xml:space="preserve">Probes[10].RequestPath:  </w:t>
              <w:br/>
              <w:t xml:space="preserve">Probes[11].Name: intermarketServiceProbe </w:t>
              <w:br/>
              <w:t xml:space="preserve">Probes[11].Port: 8202 </w:t>
              <w:br/>
              <w:t xml:space="preserve">Probes[11].Protocol: Tcp </w:t>
              <w:br/>
              <w:t xml:space="preserve">Probes[11].IntervalInSeconds: 5 </w:t>
              <w:br/>
              <w:t xml:space="preserve">Probes[11].NumberOfProbes: 2 </w:t>
              <w:br/>
              <w:t xml:space="preserve">Probes[11].RequestPath:  </w:t>
              <w:br/>
              <w:t xml:space="preserve">Probes[12].Name: reportApiProbe </w:t>
              <w:br/>
              <w:t xml:space="preserve">Probes[12].Port: 8993 </w:t>
              <w:br/>
              <w:t xml:space="preserve">Probes[12].Protocol: Tcp </w:t>
              <w:br/>
              <w:t xml:space="preserve">Probes[12].IntervalInSeconds: 5 </w:t>
              <w:br/>
              <w:t xml:space="preserve">Probes[12].NumberOfProbes: 2 </w:t>
              <w:br/>
              <w:t xml:space="preserve">Probes[12].RequestPath:  </w:t>
              <w:br/>
              <w:t xml:space="preserve">InboundNatPools[0].Name: LoadBalancerBEAddressNatPool </w:t>
              <w:br/>
              <w:t xml:space="preserve">InboundNatPools[0].FrontendPortRangeStart: 3389 </w:t>
              <w:br/>
              <w:t xml:space="preserve">InboundNatPools[0].FrontendPortRangeEnd: 4500 </w:t>
              <w:br/>
              <w:t xml:space="preserve">InboundNatPools[0].BackendPort: 3389 </w:t>
              <w:br/>
              <w:t xml:space="preserve">InboundNatPools[0].Protocol: Tcp </w:t>
              <w:br/>
              <w:t>ProvisioningState: Succeeded</w:t>
            </w:r>
          </w:p>
        </w:tc>
        <w:tc>
          <w:tcPr>
            <w:tcW w:w="2351"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8"/>
                <w:szCs w:val="10"/>
              </w:rPr>
            </w:pPr>
            <w:r>
              <w:rPr>
                <w:rFonts w:cs="Calibri"/>
                <w:color w:val="000000"/>
                <w:sz w:val="8"/>
                <w:szCs w:val="10"/>
              </w:rPr>
              <w:t xml:space="preserve">Type: Load Balancer </w:t>
              <w:br/>
              <w:t xml:space="preserve">Name: LB-nbsbgiqe1-nt0vm </w:t>
              <w:br/>
              <w:t xml:space="preserve">Location: northeurope </w:t>
              <w:br/>
              <w:t xml:space="preserve">ResourceGroup: NBSBgIqe1 </w:t>
              <w:br/>
              <w:t xml:space="preserve">FrontendIpConfigurations[0].Name: LoadBalancerIPConfig </w:t>
              <w:br/>
              <w:t xml:space="preserve">FrontendIpConfigurations[0].PrivateIpAddress:  </w:t>
              <w:br/>
              <w:t xml:space="preserve">FrontendIpConfigurations[0].PrivateIpAddressAllocationMethod:  </w:t>
              <w:br/>
              <w:t xml:space="preserve">FrontendIpConfigurations[0].PublicIpAddress: Microsoft.Azure.Commands.Network.Models.PSPublicIpAddress </w:t>
              <w:br/>
              <w:t xml:space="preserve">BackendAddressPools[0].Name: LoadBalancerBEAddressPool </w:t>
              <w:br/>
              <w:t xml:space="preserve">LoadBalancingRules[0].Name: LBRule </w:t>
              <w:br/>
              <w:t xml:space="preserve">LoadBalancingRules[0].FrontendPort: 19000 </w:t>
              <w:br/>
              <w:t xml:space="preserve">LoadBalancingRules[0].BackendPort: 19000 </w:t>
              <w:br/>
              <w:t xml:space="preserve">LoadBalancingRules[0].Protocol: Tcp </w:t>
              <w:br/>
              <w:t xml:space="preserve">LoadBalancingRules[0].IdleTimeoutInMininutes:  </w:t>
              <w:br/>
              <w:t xml:space="preserve">LoadBalancingRules[0].EnableFloatingIP: False </w:t>
              <w:br/>
              <w:t xml:space="preserve">LoadBalancingRules[1].Name: LBHttpRule </w:t>
              <w:br/>
              <w:t xml:space="preserve">LoadBalancingRules[1].FrontendPort: 19080 </w:t>
              <w:br/>
              <w:t xml:space="preserve">LoadBalancingRules[1].BackendPort: 19080 </w:t>
              <w:br/>
              <w:t xml:space="preserve">LoadBalancingRules[1].Protocol: Tcp </w:t>
              <w:br/>
              <w:t xml:space="preserve">LoadBalancingRules[1].IdleTimeoutInMininutes:  </w:t>
              <w:br/>
              <w:t xml:space="preserve">LoadBalancingRules[1].EnableFloatingIP: False </w:t>
              <w:br/>
              <w:t xml:space="preserve">LoadBalancingRules[2].Name: webHttpsRule </w:t>
              <w:br/>
              <w:t xml:space="preserve">LoadBalancingRules[2].FrontendPort: 443 </w:t>
              <w:br/>
              <w:t xml:space="preserve">LoadBalancingRules[2].BackendPort: 443 </w:t>
              <w:br/>
              <w:t xml:space="preserve">LoadBalancingRules[2].Protocol: Tcp </w:t>
              <w:br/>
              <w:t xml:space="preserve">LoadBalancingRules[2].IdleTimeoutInMininutes:  </w:t>
              <w:br/>
              <w:t xml:space="preserve">LoadBalancingRules[2].EnableFloatingIP: False </w:t>
              <w:br/>
              <w:t xml:space="preserve">LoadBalancingRules[3].Name: identityServerRule </w:t>
              <w:br/>
              <w:t xml:space="preserve">LoadBalancingRules[3].FrontendPort: 8637 </w:t>
              <w:br/>
              <w:t xml:space="preserve">LoadBalancingRules[3].BackendPort: 8637 </w:t>
              <w:br/>
              <w:t xml:space="preserve">LoadBalancingRules[3].Protocol: Tcp </w:t>
              <w:br/>
              <w:t xml:space="preserve">LoadBalancingRules[3].IdleTimeoutInMininutes:  </w:t>
              <w:br/>
              <w:t xml:space="preserve">LoadBalancingRules[3].EnableFloatingIP: False </w:t>
              <w:br/>
              <w:t xml:space="preserve">LoadBalancingRules[4].Name: emergencyPortalRule </w:t>
              <w:br/>
              <w:t xml:space="preserve">LoadBalancingRules[4].FrontendPort: 8641 </w:t>
              <w:br/>
              <w:t xml:space="preserve">LoadBalancingRules[4].BackendPort: 8641 </w:t>
              <w:br/>
              <w:t xml:space="preserve">LoadBalancingRules[4].Protocol: Tcp </w:t>
              <w:br/>
              <w:t xml:space="preserve">LoadBalancingRules[4].IdleTimeoutInMininutes:  </w:t>
              <w:br/>
              <w:t xml:space="preserve">LoadBalancingRules[4].EnableFloatingIP: False </w:t>
              <w:br/>
              <w:t xml:space="preserve">LoadBalancingRules[5].Name: adminPortalRule </w:t>
              <w:br/>
              <w:t xml:space="preserve">LoadBalancingRules[5].FrontendPort: 8640 </w:t>
              <w:br/>
              <w:t xml:space="preserve">LoadBalancingRules[5].BackendPort: 8640 </w:t>
              <w:br/>
              <w:t xml:space="preserve">LoadBalancingRules[5].Protocol: Tcp </w:t>
              <w:br/>
              <w:t xml:space="preserve">LoadBalancingRules[5].IdleTimeoutInMininutes:  </w:t>
              <w:br/>
              <w:t xml:space="preserve">LoadBalancingRules[5].EnableFloatingIP: False </w:t>
              <w:br/>
              <w:t xml:space="preserve">LoadBalancingRules[6].Name: localOrganisationRule </w:t>
              <w:br/>
              <w:t xml:space="preserve">LoadBalancingRules[6].FrontendPort: 8978 </w:t>
              <w:br/>
              <w:t xml:space="preserve">LoadBalancingRules[6].BackendPort: 8978 </w:t>
              <w:br/>
              <w:t xml:space="preserve">LoadBalancingRules[6].Protocol: Tcp </w:t>
              <w:br/>
              <w:t xml:space="preserve">LoadBalancingRules[6].IdleTimeoutInMininutes:  </w:t>
              <w:br/>
              <w:t xml:space="preserve">LoadBalancingRules[6].EnableFloatingIP: False </w:t>
              <w:br/>
              <w:t xml:space="preserve">LoadBalancingRules[7].Name: usersAdminApiRule </w:t>
              <w:br/>
              <w:t xml:space="preserve">LoadBalancingRules[7].FrontendPort: 8317 </w:t>
              <w:br/>
              <w:t xml:space="preserve">LoadBalancingRules[7].BackendPort: 8317 </w:t>
              <w:br/>
              <w:t xml:space="preserve">LoadBalancingRules[7].Protocol: Tcp </w:t>
              <w:br/>
              <w:t xml:space="preserve">LoadBalancingRules[7].IdleTimeoutInMininutes:  </w:t>
              <w:br/>
              <w:t xml:space="preserve">LoadBalancingRules[7].EnableFloatingIP: False </w:t>
              <w:br/>
              <w:t xml:space="preserve">LoadBalancingRules[8].Name: localOrganisationsAdminApiRule </w:t>
              <w:br/>
              <w:t xml:space="preserve">LoadBalancingRules[8].FrontendPort: 8258 </w:t>
              <w:br/>
              <w:t xml:space="preserve">LoadBalancingRules[8].BackendPort: 8258 </w:t>
              <w:br/>
              <w:t xml:space="preserve">LoadBalancingRules[8].Protocol: Tcp </w:t>
              <w:br/>
              <w:t xml:space="preserve">LoadBalancingRules[8].IdleTimeoutInMininutes:  </w:t>
              <w:br/>
              <w:t xml:space="preserve">LoadBalancingRules[8].EnableFloatingIP: False </w:t>
              <w:br/>
              <w:t xml:space="preserve">LoadBalancingRules[9].Name: clientCredentialsAdminApiRule </w:t>
              <w:br/>
              <w:t xml:space="preserve">LoadBalancingRules[9].FrontendPort: 8985 </w:t>
              <w:br/>
              <w:t xml:space="preserve">LoadBalancingRules[9].BackendPort: 8985 </w:t>
              <w:br/>
              <w:t xml:space="preserve">LoadBalancingRules[9].Protocol: Tcp </w:t>
              <w:br/>
              <w:t xml:space="preserve">LoadBalancingRules[9].IdleTimeoutInMininutes:  </w:t>
              <w:br/>
              <w:t xml:space="preserve">LoadBalancingRules[9].EnableFloatingIP: False </w:t>
              <w:br/>
              <w:t xml:space="preserve">LoadBalancingRules[10].Name: hubGatewayRule </w:t>
              <w:br/>
              <w:t xml:space="preserve">LoadBalancingRules[10].FrontendPort: 8201 </w:t>
              <w:br/>
              <w:t xml:space="preserve">LoadBalancingRules[10].BackendPort: 8201 </w:t>
              <w:br/>
              <w:t xml:space="preserve">LoadBalancingRules[10].Protocol: Tcp </w:t>
              <w:br/>
              <w:t xml:space="preserve">LoadBalancingRules[10].IdleTimeoutInMininutes:  </w:t>
              <w:br/>
              <w:t xml:space="preserve">LoadBalancingRules[10].EnableFloatingIP: False </w:t>
              <w:br/>
              <w:t xml:space="preserve">LoadBalancingRules[11].Name: intermarketServiceRule </w:t>
              <w:br/>
              <w:t xml:space="preserve">LoadBalancingRules[11].FrontendPort: 8202 </w:t>
              <w:br/>
              <w:t xml:space="preserve">LoadBalancingRules[11].BackendPort: 8202 </w:t>
              <w:br/>
              <w:t xml:space="preserve">LoadBalancingRules[11].Protocol: Tcp </w:t>
              <w:br/>
              <w:t xml:space="preserve">LoadBalancingRules[11].IdleTimeoutInMininutes:  </w:t>
              <w:br/>
              <w:t xml:space="preserve">LoadBalancingRules[11].EnableFloatingIP: False </w:t>
              <w:br/>
              <w:t xml:space="preserve">LoadBalancingRules[12].Name: reportApiRule </w:t>
              <w:br/>
              <w:t xml:space="preserve">LoadBalancingRules[12].FrontendPort: 8993 </w:t>
              <w:br/>
              <w:t xml:space="preserve">LoadBalancingRules[12].BackendPort: 8993 </w:t>
              <w:br/>
              <w:t xml:space="preserve">LoadBalancingRules[12].Protocol: Tcp </w:t>
              <w:br/>
              <w:t xml:space="preserve">LoadBalancingRules[12].IdleTimeoutInMininutes:  </w:t>
              <w:br/>
              <w:t xml:space="preserve">LoadBalancingRules[12].EnableFloatingIP: False </w:t>
              <w:br/>
              <w:t xml:space="preserve">Probes[0].Name: FabricGatewayProbe </w:t>
              <w:br/>
            </w:r>
          </w:p>
        </w:tc>
        <w:tc>
          <w:tcPr>
            <w:tcW w:w="2354" w:type="dxa"/>
            <w:tcBorders>
              <w:top w:val="single" w:sz="4" w:space="0" w:color="000000"/>
              <w:left w:val="single" w:sz="4" w:space="0" w:color="000000"/>
              <w:bottom w:val="single" w:sz="4" w:space="0" w:color="000000"/>
            </w:tcBorders>
            <w:shd w:fill="EAF1DD" w:val="clear"/>
          </w:tcPr>
          <w:p>
            <w:pPr>
              <w:pStyle w:val="Normal"/>
              <w:widowControl w:val="false"/>
              <w:bidi w:val="0"/>
              <w:spacing w:lineRule="auto" w:line="276" w:before="0" w:after="200"/>
              <w:rPr/>
            </w:pPr>
            <w:r>
              <w:rPr>
                <w:rFonts w:cs="Calibri"/>
                <w:color w:val="000000"/>
                <w:sz w:val="8"/>
                <w:szCs w:val="10"/>
              </w:rPr>
              <w:t xml:space="preserve">Probes[0].Port: 19000 </w:t>
              <w:br/>
              <w:t xml:space="preserve">Probes[0].Protocol: Tcp </w:t>
              <w:br/>
              <w:t xml:space="preserve">Probes[0].IntervalInSeconds: 5 </w:t>
              <w:br/>
              <w:t xml:space="preserve">Probes[0].NumberOfProbes: 2 </w:t>
              <w:br/>
              <w:t xml:space="preserve">Probes[0].RequestPath:  </w:t>
              <w:br/>
              <w:t xml:space="preserve">Probes[1].Name: FabricHttpGatewayProbe </w:t>
              <w:br/>
              <w:t xml:space="preserve">Probes[1].Port: 19080 </w:t>
              <w:br/>
              <w:t xml:space="preserve">Probes[1].Protocol: Tcp </w:t>
              <w:br/>
              <w:t xml:space="preserve">Probes[1].IntervalInSeconds: 5 </w:t>
              <w:br/>
              <w:t xml:space="preserve">Probes[1].NumberOfProbes: 2 </w:t>
              <w:br/>
              <w:t xml:space="preserve">Probes[1].RequestPath:  </w:t>
              <w:br/>
              <w:t xml:space="preserve">Probes[2].Name: webHttpsProbe </w:t>
              <w:br/>
              <w:t xml:space="preserve">Probes[2].Port: 443 </w:t>
              <w:br/>
              <w:t xml:space="preserve">Probes[2].Protocol: Tcp </w:t>
              <w:br/>
              <w:t xml:space="preserve">Probes[2].IntervalInSeconds: 5 </w:t>
              <w:br/>
              <w:t xml:space="preserve">Probes[2].NumberOfProbes: 2 </w:t>
              <w:br/>
              <w:t xml:space="preserve">Probes[2].RequestPath:  </w:t>
              <w:br/>
              <w:t xml:space="preserve">Probes[3].Name: identityServerProbe </w:t>
            </w:r>
            <w:r>
              <w:rPr>
                <w:rFonts w:cs="Calibri"/>
                <w:color w:val="000000"/>
                <w:sz w:val="4"/>
                <w:szCs w:val="10"/>
              </w:rPr>
              <w:br/>
            </w:r>
            <w:r>
              <w:rPr>
                <w:rFonts w:cs="Calibri"/>
                <w:color w:val="000000"/>
                <w:sz w:val="8"/>
                <w:szCs w:val="10"/>
              </w:rPr>
              <w:t xml:space="preserve">Probes[3].Port: 8637 </w:t>
              <w:br/>
              <w:t xml:space="preserve">Probes[3].Protocol: Tcp </w:t>
              <w:br/>
              <w:t xml:space="preserve">Probes[3].IntervalInSeconds: 5 </w:t>
              <w:br/>
              <w:t xml:space="preserve">Probes[3].NumberOfProbes: 2 </w:t>
              <w:br/>
              <w:t xml:space="preserve">Probes[3].RequestPath:  </w:t>
              <w:br/>
              <w:t xml:space="preserve">Probes[4].Name: localOrganisationProbe </w:t>
              <w:br/>
              <w:t xml:space="preserve">Probes[4].Port: 8978 </w:t>
              <w:br/>
              <w:t xml:space="preserve">Probes[4].Protocol: Tcp </w:t>
              <w:br/>
              <w:t xml:space="preserve">Probes[4].IntervalInSeconds: 5 </w:t>
              <w:br/>
              <w:t xml:space="preserve">Probes[4].NumberOfProbes: 2 </w:t>
              <w:br/>
              <w:t xml:space="preserve">Probes[4].RequestPath:  </w:t>
              <w:br/>
              <w:t xml:space="preserve">Probes[5].Name: emergencyPortalProbe </w:t>
              <w:br/>
              <w:t xml:space="preserve">Probes[5].Port: 8641 </w:t>
              <w:br/>
              <w:t xml:space="preserve">Probes[5].Protocol: Tcp </w:t>
              <w:br/>
              <w:t xml:space="preserve">Probes[5].IntervalInSeconds: 5 </w:t>
              <w:br/>
              <w:t xml:space="preserve">Probes[5].NumberOfProbes: 2 </w:t>
              <w:br/>
              <w:t xml:space="preserve">Probes[5].RequestPath:  </w:t>
              <w:br/>
              <w:t xml:space="preserve">Probes[6].Name: adminPortalProbe </w:t>
              <w:br/>
              <w:t xml:space="preserve">Probes[6].Port: 8640 </w:t>
              <w:br/>
              <w:t xml:space="preserve">Probes[6].Protocol: Tcp </w:t>
              <w:br/>
              <w:t xml:space="preserve">Probes[6].IntervalInSeconds: 5 </w:t>
              <w:br/>
              <w:t xml:space="preserve">Probes[6].NumberOfProbes: 2 </w:t>
              <w:br/>
              <w:t xml:space="preserve">Probes[6].RequestPath:  </w:t>
              <w:br/>
              <w:t xml:space="preserve">Probes[7].Name: usersAdminApiProbe </w:t>
              <w:br/>
              <w:t xml:space="preserve">Probes[7].Port: 8317 </w:t>
              <w:br/>
              <w:t xml:space="preserve">Probes[7].Protocol: Tcp </w:t>
              <w:br/>
              <w:t xml:space="preserve">Probes[7].IntervalInSeconds: 5 </w:t>
              <w:br/>
              <w:t xml:space="preserve">Probes[7].NumberOfProbes: 2 </w:t>
              <w:br/>
              <w:t xml:space="preserve">Probes[7].RequestPath:  </w:t>
              <w:br/>
              <w:t xml:space="preserve">Probes[8].Name: localOrganisationsAdminApiProbe </w:t>
              <w:br/>
              <w:t xml:space="preserve">Probes[8].Port: 8258 </w:t>
              <w:br/>
              <w:t xml:space="preserve">Probes[8].Protocol: Tcp </w:t>
              <w:br/>
              <w:t xml:space="preserve">Probes[8].IntervalInSeconds: 5 </w:t>
              <w:br/>
              <w:t xml:space="preserve">Probes[8].NumberOfProbes: 2 </w:t>
              <w:br/>
              <w:t xml:space="preserve">Probes[8].RequestPath:  </w:t>
              <w:br/>
              <w:t xml:space="preserve">Probes[9].Name: clientCredentialsAdminApiProbe </w:t>
              <w:br/>
              <w:t xml:space="preserve">Probes[9].Port: 8985 </w:t>
              <w:br/>
              <w:t xml:space="preserve">Probes[9].Protocol: Tcp </w:t>
              <w:br/>
              <w:t xml:space="preserve">Probes[9].IntervalInSeconds: 5 </w:t>
              <w:br/>
              <w:t xml:space="preserve">Probes[9].NumberOfProbes: 2 </w:t>
              <w:br/>
              <w:t xml:space="preserve">Probes[9].RequestPath:  </w:t>
              <w:br/>
              <w:t xml:space="preserve">Probes[10].Name: hubGatewayProbe </w:t>
              <w:br/>
              <w:t xml:space="preserve">Probes[10].Port: 8201 </w:t>
              <w:br/>
              <w:t xml:space="preserve">Probes[10].Protocol: Tcp </w:t>
              <w:br/>
              <w:t xml:space="preserve">Probes[10].IntervalInSeconds: 5 </w:t>
              <w:br/>
              <w:t xml:space="preserve">Probes[10].NumberOfProbes: 2 </w:t>
              <w:br/>
              <w:t xml:space="preserve">Probes[10].RequestPath:  </w:t>
              <w:br/>
              <w:t xml:space="preserve">Probes[11].Name: intermarketServiceProbe </w:t>
              <w:br/>
              <w:t xml:space="preserve">Probes[11].Port: 8202 </w:t>
              <w:br/>
              <w:t xml:space="preserve">Probes[11].Protocol: Tcp </w:t>
              <w:br/>
              <w:t xml:space="preserve">Probes[11].IntervalInSeconds: 5 </w:t>
              <w:br/>
              <w:t xml:space="preserve">Probes[11].NumberOfProbes: 2 </w:t>
              <w:br/>
              <w:t xml:space="preserve">Probes[11].RequestPath:  </w:t>
              <w:br/>
              <w:t xml:space="preserve">Probes[12].Name: reportApiProbe </w:t>
              <w:br/>
              <w:t xml:space="preserve">Probes[12].Port: 8993 </w:t>
              <w:br/>
              <w:t xml:space="preserve">Probes[12].Protocol: Tcp </w:t>
              <w:br/>
              <w:t xml:space="preserve">Probes[12].IntervalInSeconds: 5 </w:t>
              <w:br/>
              <w:t xml:space="preserve">Probes[12].NumberOfProbes: 2 </w:t>
              <w:br/>
              <w:t xml:space="preserve">Probes[12].RequestPath:  </w:t>
              <w:br/>
              <w:t xml:space="preserve">InboundNatPools[0].Name: LoadBalancerBEAddressNatPool </w:t>
              <w:br/>
              <w:t xml:space="preserve">InboundNatPools[0].FrontendPortRangeStart: 3389 </w:t>
              <w:br/>
              <w:t xml:space="preserve">InboundNatPools[0].FrontendPortRangeEnd: 4500 </w:t>
              <w:br/>
              <w:t xml:space="preserve">InboundNatPools[0].BackendPort: 3389 </w:t>
              <w:br/>
              <w:t xml:space="preserve">InboundNatPools[0].Protocol: Tcp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spacing w:lineRule="auto" w:line="240" w:before="0" w:after="0"/>
              <w:rPr>
                <w:rFonts w:cs="Calibri"/>
                <w:color w:val="000000"/>
                <w:sz w:val="18"/>
                <w:szCs w:val="18"/>
                <w:lang w:val="en-US"/>
              </w:rPr>
            </w:pPr>
            <w:r>
              <w:rPr>
                <w:rFonts w:cs="Calibri"/>
                <w:color w:val="000000"/>
                <w:sz w:val="18"/>
                <w:szCs w:val="18"/>
              </w:rPr>
              <w:t>Pass</w:t>
            </w:r>
          </w:p>
          <w:p>
            <w:pPr>
              <w:pStyle w:val="Tabletext"/>
              <w:spacing w:before="40" w:after="40"/>
              <w:rPr>
                <w:rFonts w:cs="Calibri"/>
                <w:color w:val="000000"/>
                <w:sz w:val="16"/>
                <w:szCs w:val="16"/>
                <w:lang w:val="en-US" w:eastAsia="en-GB"/>
              </w:rPr>
            </w:pPr>
            <w:r>
              <w:rPr>
                <w:rFonts w:cs="Calibri"/>
                <w:color w:val="000000"/>
                <w:sz w:val="16"/>
                <w:szCs w:val="16"/>
                <w:lang w:val="en-US" w:eastAsia="en-GB"/>
              </w:rPr>
            </w:r>
          </w:p>
        </w:tc>
      </w:tr>
      <w:tr>
        <w:trPr>
          <w:trHeight w:val="7715" w:hRule="atLeast"/>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color w:val="000000"/>
                <w:sz w:val="16"/>
                <w:szCs w:val="16"/>
                <w:lang w:eastAsia="en-GB"/>
              </w:rPr>
            </w:pPr>
            <w:r>
              <w:rPr>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LB-nbsbgiqe1-nt1vm</w:t>
            </w:r>
          </w:p>
        </w:tc>
        <w:tc>
          <w:tcPr>
            <w:tcW w:w="4705" w:type="dxa"/>
            <w:gridSpan w:val="2"/>
            <w:tcBorders>
              <w:top w:val="single" w:sz="4" w:space="0" w:color="000000"/>
              <w:left w:val="single" w:sz="4" w:space="0" w:color="000000"/>
              <w:bottom w:val="single" w:sz="4" w:space="0" w:color="000000"/>
            </w:tcBorders>
            <w:shd w:fill="DBE5F1" w:val="clear"/>
          </w:tcPr>
          <w:p>
            <w:pPr>
              <w:pStyle w:val="Normal"/>
              <w:widowControl w:val="false"/>
              <w:bidi w:val="0"/>
              <w:spacing w:lineRule="auto" w:line="276" w:before="0" w:after="200"/>
              <w:rPr>
                <w:rFonts w:cs="Calibri"/>
                <w:color w:val="000000"/>
                <w:sz w:val="18"/>
                <w:szCs w:val="18"/>
              </w:rPr>
            </w:pPr>
            <w:r>
              <w:rPr>
                <w:rFonts w:cs="Calibri"/>
                <w:color w:val="000000"/>
                <w:sz w:val="10"/>
                <w:szCs w:val="10"/>
              </w:rPr>
              <w:t xml:space="preserve">Type: Load Balancer </w:t>
              <w:br/>
              <w:t xml:space="preserve">Name: LB-nbsbgiqe1-nt1vm </w:t>
              <w:br/>
              <w:t xml:space="preserve">Location: northeurope </w:t>
              <w:br/>
              <w:t xml:space="preserve">ResourceGroup: NBSBgIqe1 </w:t>
              <w:br/>
              <w:t xml:space="preserve">FrontendIpConfigurations[0].Name: LoadBalancerIPConfig </w:t>
              <w:br/>
              <w:t xml:space="preserve">FrontendIpConfigurations[0].PrivateIpAddress:  </w:t>
              <w:br/>
              <w:t xml:space="preserve">FrontendIpConfigurations[0].PrivateIpAddressAllocationMethod:  </w:t>
              <w:br/>
              <w:t xml:space="preserve">FrontendIpConfigurations[0].PublicIpAddress: Microsoft.Azure.Commands.Network.Models.PSPublicIpAddress </w:t>
              <w:br/>
              <w:t xml:space="preserve">BackendAddressPools[0].Name: LoadBalancerBEAddressPool </w:t>
              <w:br/>
              <w:t xml:space="preserve">LoadBalancingRules[0].Name: LBRule1 </w:t>
              <w:br/>
              <w:t xml:space="preserve">LoadBalancingRules[0].FrontendPort: 19000 </w:t>
              <w:br/>
              <w:t xml:space="preserve">LoadBalancingRules[0].BackendPort: 19000 </w:t>
              <w:br/>
              <w:t xml:space="preserve">LoadBalancingRules[0].Protocol: Tcp </w:t>
              <w:br/>
              <w:t xml:space="preserve">LoadBalancingRules[0].IdleTimeoutInMininutes:  </w:t>
              <w:br/>
              <w:t xml:space="preserve">LoadBalancingRules[0].EnableFloatingIP: False </w:t>
              <w:br/>
              <w:t xml:space="preserve">LoadBalancingRules[1].Name: LBHttpRule </w:t>
              <w:br/>
              <w:t xml:space="preserve">LoadBalancingRules[1].FrontendPort: 19080 </w:t>
              <w:br/>
              <w:t xml:space="preserve">LoadBalancingRules[1].BackendPort: 19080 </w:t>
              <w:br/>
              <w:t xml:space="preserve">LoadBalancingRules[1].Protocol: Tcp </w:t>
              <w:br/>
              <w:t xml:space="preserve">LoadBalancingRules[1].IdleTimeoutInMininutes:  </w:t>
              <w:br/>
              <w:t xml:space="preserve">LoadBalancingRules[1].EnableFloatingIP: False </w:t>
              <w:br/>
              <w:t xml:space="preserve">LoadBalancingRules[2].Name: webHttpsRule </w:t>
              <w:br/>
              <w:t xml:space="preserve">LoadBalancingRules[2].FrontendPort: 443 </w:t>
              <w:br/>
              <w:t xml:space="preserve">LoadBalancingRules[2].BackendPort: 443 </w:t>
              <w:br/>
              <w:t xml:space="preserve">LoadBalancingRules[2].Protocol: Tcp </w:t>
              <w:br/>
              <w:t xml:space="preserve">LoadBalancingRules[2].IdleTimeoutInMininutes:  </w:t>
              <w:br/>
              <w:t xml:space="preserve">LoadBalancingRules[2].EnableFloatingIP: False </w:t>
              <w:br/>
              <w:t xml:space="preserve">Probes[0].Name: FabricGatewayProbe </w:t>
              <w:br/>
              <w:t xml:space="preserve">Probes[0].Port: 19000 </w:t>
              <w:br/>
              <w:t xml:space="preserve">Probes[0].Protocol: Tcp </w:t>
              <w:br/>
              <w:t xml:space="preserve">Probes[0].IntervalInSeconds: 5 </w:t>
              <w:br/>
              <w:t xml:space="preserve">Probes[0].NumberOfProbes: 2 </w:t>
              <w:br/>
              <w:t xml:space="preserve">Probes[0].RequestPath:  </w:t>
              <w:br/>
              <w:t xml:space="preserve">Probes[1].Name: FabricHttpGatewayProbe </w:t>
              <w:br/>
              <w:t>Probes[1].Port: 19080</w:t>
            </w:r>
            <w:r>
              <w:rPr>
                <w:rFonts w:cs="Calibri"/>
                <w:color w:val="000000"/>
                <w:sz w:val="18"/>
                <w:szCs w:val="18"/>
              </w:rPr>
              <w:t xml:space="preserve"> </w:t>
              <w:br/>
            </w:r>
            <w:r>
              <w:rPr>
                <w:rFonts w:cs="Calibri"/>
                <w:color w:val="000000"/>
                <w:sz w:val="10"/>
                <w:szCs w:val="10"/>
              </w:rPr>
              <w:t xml:space="preserve">Probes[1].Protocol: Tcp </w:t>
              <w:br/>
              <w:t xml:space="preserve">Probes[1].IntervalInSeconds: 5 </w:t>
              <w:br/>
              <w:t xml:space="preserve">Probes[1].NumberOfProbes: 2 </w:t>
              <w:br/>
              <w:t xml:space="preserve">Probes[1].RequestPath:  </w:t>
              <w:br/>
              <w:t xml:space="preserve">Probes[2].Name: webHttpsProbe </w:t>
              <w:br/>
              <w:t xml:space="preserve">Probes[2].Port: 443 </w:t>
              <w:br/>
              <w:t xml:space="preserve">Probes[2].Protocol: Tcp </w:t>
              <w:br/>
              <w:t xml:space="preserve">Probes[2].IntervalInSeconds: 5 </w:t>
              <w:br/>
              <w:t xml:space="preserve">Probes[2].NumberOfProbes: 2 </w:t>
              <w:br/>
              <w:t xml:space="preserve">Probes[2].RequestPath:  </w:t>
              <w:br/>
              <w:t xml:space="preserve">InboundNatPools[0].Name: LoadBalancerBEAddressNatPool </w:t>
              <w:br/>
              <w:t xml:space="preserve">InboundNatPools[0].FrontendPortRangeStart: 3389 </w:t>
              <w:br/>
              <w:t xml:space="preserve">InboundNatPools[0].FrontendPortRangeEnd: 4500 </w:t>
              <w:br/>
              <w:t xml:space="preserve">InboundNatPools[0].BackendPort: 3389 </w:t>
              <w:br/>
              <w:t xml:space="preserve">InboundNatPools[0].Protocol: Tcp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0"/>
                <w:szCs w:val="10"/>
              </w:rPr>
              <w:t xml:space="preserve">Type: Load Balancer </w:t>
              <w:br/>
              <w:t xml:space="preserve">Name: LB-nbsbgiqe1-nt1vm </w:t>
              <w:br/>
              <w:t xml:space="preserve">Location: northeurope </w:t>
              <w:br/>
              <w:t xml:space="preserve">ResourceGroup: NBSBgIqe1 </w:t>
              <w:br/>
              <w:t xml:space="preserve">FrontendIpConfigurations[0].Name: LoadBalancerIPConfig </w:t>
              <w:br/>
              <w:t xml:space="preserve">FrontendIpConfigurations[0].PrivateIpAddress:  </w:t>
              <w:br/>
              <w:t xml:space="preserve">FrontendIpConfigurations[0].PrivateIpAddressAllocationMethod:  </w:t>
              <w:br/>
              <w:t xml:space="preserve">FrontendIpConfigurations[0].PublicIpAddress: Microsoft.Azure.Commands.Network.Models.PSPublicIpAddress </w:t>
              <w:br/>
              <w:t xml:space="preserve">BackendAddressPools[0].Name: LoadBalancerBEAddressPool </w:t>
              <w:br/>
              <w:t xml:space="preserve">LoadBalancingRules[0].Name: LBRule1 </w:t>
              <w:br/>
              <w:t xml:space="preserve">LoadBalancingRules[0].FrontendPort: 19000 </w:t>
              <w:br/>
              <w:t xml:space="preserve">LoadBalancingRules[0].BackendPort: 19000 </w:t>
              <w:br/>
              <w:t xml:space="preserve">LoadBalancingRules[0].Protocol: Tcp </w:t>
              <w:br/>
              <w:t xml:space="preserve">LoadBalancingRules[0].IdleTimeoutInMininutes:  </w:t>
              <w:br/>
              <w:t xml:space="preserve">LoadBalancingRules[0].EnableFloatingIP: False </w:t>
              <w:br/>
              <w:t xml:space="preserve">LoadBalancingRules[1].Name: LBHttpRule </w:t>
              <w:br/>
              <w:t xml:space="preserve">LoadBalancingRules[1].FrontendPort: 19080 </w:t>
              <w:br/>
              <w:t xml:space="preserve">LoadBalancingRules[1].BackendPort: 19080 </w:t>
              <w:br/>
              <w:t xml:space="preserve">LoadBalancingRules[1].Protocol: Tcp </w:t>
              <w:br/>
              <w:t xml:space="preserve">LoadBalancingRules[1].IdleTimeoutInMininutes:  </w:t>
              <w:br/>
              <w:t xml:space="preserve">LoadBalancingRules[1].EnableFloatingIP: False </w:t>
              <w:br/>
              <w:t xml:space="preserve">LoadBalancingRules[2].Name: webHttpsRule </w:t>
              <w:br/>
              <w:t xml:space="preserve">LoadBalancingRules[2].FrontendPort: 443 </w:t>
              <w:br/>
              <w:t xml:space="preserve">LoadBalancingRules[2].BackendPort: 443 </w:t>
              <w:br/>
              <w:t xml:space="preserve">LoadBalancingRules[2].Protocol: Tcp </w:t>
              <w:br/>
              <w:t xml:space="preserve">LoadBalancingRules[2].IdleTimeoutInMininutes:  </w:t>
              <w:br/>
              <w:t xml:space="preserve">LoadBalancingRules[2].EnableFloatingIP: False </w:t>
              <w:br/>
              <w:t xml:space="preserve">Probes[0].Name: FabricGatewayProbe </w:t>
              <w:br/>
              <w:t xml:space="preserve">Probes[0].Port: 19000 </w:t>
              <w:br/>
              <w:t xml:space="preserve">Probes[0].Protocol: Tcp </w:t>
              <w:br/>
              <w:t xml:space="preserve">Probes[0].IntervalInSeconds: 5 </w:t>
              <w:br/>
              <w:t xml:space="preserve">Probes[0].NumberOfProbes: 2 </w:t>
              <w:br/>
              <w:t xml:space="preserve">Probes[0].RequestPath:  </w:t>
              <w:br/>
              <w:t xml:space="preserve">Probes[1].Name: FabricHttpGatewayProbe </w:t>
              <w:br/>
              <w:t>Probes[1].Port: 19080</w:t>
            </w:r>
            <w:r>
              <w:rPr>
                <w:rFonts w:cs="Calibri"/>
                <w:color w:val="000000"/>
                <w:sz w:val="18"/>
                <w:szCs w:val="18"/>
              </w:rPr>
              <w:t xml:space="preserve"> </w:t>
              <w:br/>
            </w:r>
            <w:r>
              <w:rPr>
                <w:rFonts w:cs="Calibri"/>
                <w:color w:val="000000"/>
                <w:sz w:val="10"/>
                <w:szCs w:val="10"/>
              </w:rPr>
              <w:t xml:space="preserve">Probes[1].Protocol: Tcp </w:t>
              <w:br/>
              <w:t xml:space="preserve">Probes[1].IntervalInSeconds: 5 </w:t>
              <w:br/>
              <w:t xml:space="preserve">Probes[1].NumberOfProbes: 2 </w:t>
              <w:br/>
              <w:t xml:space="preserve">Probes[1].RequestPath:  </w:t>
              <w:br/>
              <w:t xml:space="preserve">Probes[2].Name: webHttpsProbe </w:t>
              <w:br/>
              <w:t xml:space="preserve">Probes[2].Port: 443 </w:t>
              <w:br/>
              <w:t xml:space="preserve">Probes[2].Protocol: Tcp </w:t>
              <w:br/>
              <w:t xml:space="preserve">Probes[2].IntervalInSeconds: 5 </w:t>
              <w:br/>
              <w:t xml:space="preserve">Probes[2].NumberOfProbes: 2 </w:t>
              <w:br/>
              <w:t xml:space="preserve">Probes[2].RequestPath:  </w:t>
              <w:br/>
              <w:t xml:space="preserve">InboundNatPools[0].Name: LoadBalancerBEAddressNatPool </w:t>
              <w:br/>
              <w:t xml:space="preserve">InboundNatPools[0].FrontendPortRangeStart: 3389 </w:t>
              <w:br/>
              <w:t xml:space="preserve">InboundNatPools[0].FrontendPortRangeEnd: 4500 </w:t>
              <w:br/>
              <w:t xml:space="preserve">InboundNatPools[0].BackendPort: 3389 </w:t>
              <w:br/>
              <w:t xml:space="preserve">InboundNatPools[0].Protocol: Tcp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trHeight w:val="8141" w:hRule="atLeast"/>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color w:val="000000"/>
                <w:sz w:val="16"/>
                <w:szCs w:val="16"/>
                <w:lang w:eastAsia="en-GB"/>
              </w:rPr>
            </w:pPr>
            <w:r>
              <w:rPr>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nbsbgiqe1nbsbgiqe1jmpnsg</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0"/>
                <w:szCs w:val="16"/>
              </w:rPr>
            </w:pPr>
            <w:r>
              <w:rPr>
                <w:rFonts w:cs="Calibri"/>
                <w:color w:val="000000"/>
                <w:sz w:val="10"/>
                <w:szCs w:val="16"/>
              </w:rPr>
              <w:t xml:space="preserve">Type: Network Security Group </w:t>
              <w:br/>
              <w:t xml:space="preserve">Name: nbsbgiqe1nbsbgiqe1jmpnsg </w:t>
              <w:br/>
              <w:t xml:space="preserve">Namespace: nbsbgiqe1nbsbgiqe1jmpnsg </w:t>
              <w:br/>
              <w:t xml:space="preserve">Location: northeurope </w:t>
              <w:br/>
              <w:t xml:space="preserve">ResourceGroup: NBSBgIqe1 </w:t>
              <w:br/>
              <w:t xml:space="preserve">Subnets: nbsbgiqe1subnet-2 </w:t>
              <w:br/>
              <w:t xml:space="preserve">SecurityRules[0].Name: allow-rdp-In </w:t>
              <w:br/>
              <w:t xml:space="preserve">SecurityRules[0].Description: Allow RDP IN </w:t>
              <w:br/>
              <w:t xml:space="preserve">SecurityRules[0].SourceAddressPrefix: * </w:t>
              <w:br/>
              <w:t xml:space="preserve">SecurityRules[0].Access: Allow </w:t>
              <w:br/>
              <w:t xml:space="preserve">SecurityRules[1].Name: Deny-All-Inbound </w:t>
              <w:br/>
              <w:t xml:space="preserve">SecurityRules[1].Description: Deny-All-Inbound </w:t>
              <w:br/>
              <w:t xml:space="preserve">SecurityRules[1].SourceAddressPrefix: * </w:t>
              <w:br/>
              <w:t xml:space="preserve">SecurityRules[1].Access: Deny </w:t>
              <w:br/>
              <w:t xml:space="preserve">SecurityRules[2].Name: Allow-All-Outbound </w:t>
              <w:br/>
              <w:t xml:space="preserve">SecurityRules[2].Description: Allow-All-Outbound </w:t>
              <w:br/>
              <w:t xml:space="preserve">SecurityRules[2].SourceAddressPrefix: * </w:t>
              <w:br/>
              <w:t xml:space="preserve">SecurityRules[2].Access: Allow </w:t>
              <w:br/>
              <w:t xml:space="preserve">Network Interfaces: </w:t>
              <w:br/>
              <w:t xml:space="preserve">DefaultSecurityRules[0].Name: AllowVnetInBound </w:t>
              <w:br/>
              <w:t xml:space="preserve">DefaultSecurityRules[0].Description: Allow inbound traffic from all VMs in VNET </w:t>
              <w:br/>
              <w:t xml:space="preserve">DefaultSecurityRules[0].SourceAddressPrefix: VirtualNetwork </w:t>
              <w:br/>
              <w:t xml:space="preserve">DefaultSecurityRules[0].Access: Allow </w:t>
              <w:br/>
              <w:t xml:space="preserve">DefaultSecurityRules[1].Name: AllowAzureLoadBalancerInBound </w:t>
              <w:br/>
              <w:t xml:space="preserve">DefaultSecurityRules[1].Description: Allow inbound traffic from azure load balancer </w:t>
              <w:br/>
              <w:t xml:space="preserve">DefaultSecurityRules[1].SourceAddressPrefix: AzureLoadBalancer </w:t>
              <w:br/>
              <w:t xml:space="preserve">DefaultSecurityRules[1].Access: Allow </w:t>
              <w:br/>
              <w:t xml:space="preserve">DefaultSecurityRules[2].Name: DenyAllInBound </w:t>
              <w:br/>
              <w:t xml:space="preserve">DefaultSecurityRules[2].Description: Deny all inbound traffic </w:t>
              <w:br/>
              <w:t xml:space="preserve">DefaultSecurityRules[2].SourceAddressPrefix: * </w:t>
              <w:br/>
              <w:t xml:space="preserve">DefaultSecurityRules[2].Access: Deny </w:t>
              <w:br/>
              <w:t xml:space="preserve">DefaultSecurityRules[3].Name: AllowVnetOutBound </w:t>
              <w:br/>
              <w:t xml:space="preserve">DefaultSecurityRules[3].Description: Allow outbound traffic from all VMs to all VMs in VNET </w:t>
              <w:br/>
              <w:t xml:space="preserve">DefaultSecurityRules[3].SourceAddressPrefix: VirtualNetwork </w:t>
              <w:br/>
              <w:t xml:space="preserve">DefaultSecurityRules[3].Access: Allow </w:t>
              <w:br/>
              <w:t xml:space="preserve">DefaultSecurityRules[4].Name: AllowInternetOutBound </w:t>
              <w:br/>
              <w:t xml:space="preserve">DefaultSecurityRules[4].Description: Allow outbound traffic from all VMs to Internet </w:t>
              <w:br/>
              <w:t xml:space="preserve">DefaultSecurityRules[4].SourceAddressPrefix: * </w:t>
              <w:br/>
              <w:t xml:space="preserve">DefaultSecurityRules[4].Access: Allow </w:t>
              <w:br/>
              <w:t xml:space="preserve">DefaultSecurityRules[5].Name: DenyAllOutBound </w:t>
              <w:br/>
              <w:t xml:space="preserve">DefaultSecurityRules[5].Description: Deny all outbound traffic </w:t>
              <w:br/>
              <w:t xml:space="preserve">DefaultSecurityRules[5].SourceAddressPrefix: * </w:t>
              <w:br/>
              <w:t xml:space="preserve">DefaultSecurityRules[5].Access: Deny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0"/>
                <w:szCs w:val="16"/>
              </w:rPr>
            </w:pPr>
            <w:r>
              <w:rPr>
                <w:rFonts w:cs="Calibri"/>
                <w:color w:val="000000"/>
                <w:sz w:val="10"/>
                <w:szCs w:val="16"/>
              </w:rPr>
              <w:t xml:space="preserve">Type: Network Security Group </w:t>
              <w:br/>
              <w:t xml:space="preserve">Name: nbsbgiqe1nbsbgiqe1jmpnsg </w:t>
              <w:br/>
              <w:t xml:space="preserve">Namespace: nbsbgiqe1nbsbgiqe1jmpnsg </w:t>
              <w:br/>
              <w:t xml:space="preserve">Location: northeurope </w:t>
              <w:br/>
              <w:t xml:space="preserve">ResourceGroup: NBSBgIqe1 </w:t>
              <w:br/>
              <w:t xml:space="preserve">Subnets: nbsbgiqe1subnet-2 </w:t>
              <w:br/>
              <w:t xml:space="preserve">SecurityRules[0].Name: allow-rdp-In </w:t>
              <w:br/>
              <w:t xml:space="preserve">SecurityRules[0].Description: Allow RDP IN </w:t>
              <w:br/>
              <w:t xml:space="preserve">SecurityRules[0].SourceAddressPrefix: * </w:t>
              <w:br/>
              <w:t xml:space="preserve">SecurityRules[0].Access: Allow </w:t>
              <w:br/>
              <w:t xml:space="preserve">SecurityRules[1].Name: Deny-All-Inbound </w:t>
              <w:br/>
              <w:t xml:space="preserve">SecurityRules[1].Description: Deny-All-Inbound </w:t>
              <w:br/>
              <w:t xml:space="preserve">SecurityRules[1].SourceAddressPrefix: * </w:t>
              <w:br/>
              <w:t xml:space="preserve">SecurityRules[1].Access: Deny </w:t>
              <w:br/>
              <w:t xml:space="preserve">SecurityRules[2].Name: Allow-All-Outbound </w:t>
              <w:br/>
              <w:t xml:space="preserve">SecurityRules[2].Description: Allow-All-Outbound </w:t>
              <w:br/>
              <w:t xml:space="preserve">SecurityRules[2].SourceAddressPrefix: * </w:t>
              <w:br/>
              <w:t xml:space="preserve">SecurityRules[2].Access: Allow </w:t>
              <w:br/>
              <w:t xml:space="preserve">Network Interfaces: </w:t>
              <w:br/>
              <w:t xml:space="preserve">DefaultSecurityRules[0].Name: AllowVnetInBound </w:t>
              <w:br/>
              <w:t xml:space="preserve">DefaultSecurityRules[0].Description: Allow inbound traffic from all VMs in VNET </w:t>
              <w:br/>
              <w:t xml:space="preserve">DefaultSecurityRules[0].SourceAddressPrefix: VirtualNetwork </w:t>
              <w:br/>
              <w:t xml:space="preserve">DefaultSecurityRules[0].Access: Allow </w:t>
              <w:br/>
              <w:t xml:space="preserve">DefaultSecurityRules[1].Name: AllowAzureLoadBalancerInBound </w:t>
              <w:br/>
              <w:t xml:space="preserve">DefaultSecurityRules[1].Description: Allow inbound traffic from azure load balancer </w:t>
              <w:br/>
              <w:t xml:space="preserve">DefaultSecurityRules[1].SourceAddressPrefix: AzureLoadBalancer </w:t>
              <w:br/>
              <w:t xml:space="preserve">DefaultSecurityRules[1].Access: Allow </w:t>
              <w:br/>
              <w:t xml:space="preserve">DefaultSecurityRules[2].Name: DenyAllInBound </w:t>
              <w:br/>
              <w:t xml:space="preserve">DefaultSecurityRules[2].Description: Deny all inbound traffic </w:t>
              <w:br/>
              <w:t xml:space="preserve">DefaultSecurityRules[2].SourceAddressPrefix: * </w:t>
              <w:br/>
              <w:t xml:space="preserve">DefaultSecurityRules[2].Access: Deny </w:t>
              <w:br/>
              <w:t xml:space="preserve">DefaultSecurityRules[3].Name: AllowVnetOutBound </w:t>
              <w:br/>
              <w:t xml:space="preserve">DefaultSecurityRules[3].Description: Allow outbound traffic from all VMs to all VMs in VNET </w:t>
              <w:br/>
              <w:t xml:space="preserve">DefaultSecurityRules[3].SourceAddressPrefix: VirtualNetwork </w:t>
              <w:br/>
              <w:t xml:space="preserve">DefaultSecurityRules[3].Access: Allow </w:t>
              <w:br/>
              <w:t xml:space="preserve">DefaultSecurityRules[4].Name: AllowInternetOutBound </w:t>
              <w:br/>
              <w:t xml:space="preserve">DefaultSecurityRules[4].Description: Allow outbound traffic from all VMs to Internet </w:t>
              <w:br/>
              <w:t xml:space="preserve">DefaultSecurityRules[4].SourceAddressPrefix: * </w:t>
              <w:br/>
              <w:t xml:space="preserve">DefaultSecurityRules[4].Access: Allow </w:t>
              <w:br/>
              <w:t xml:space="preserve">DefaultSecurityRules[5].Name: DenyAllOutBound </w:t>
              <w:br/>
              <w:t xml:space="preserve">DefaultSecurityRules[5].Description: Deny all outbound traffic </w:t>
              <w:br/>
              <w:t xml:space="preserve">DefaultSecurityRules[5].SourceAddressPrefix: * </w:t>
              <w:br/>
              <w:t xml:space="preserve">DefaultSecurityRules[5].Access: Deny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trHeight w:val="7715" w:hRule="atLeast"/>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bCs/>
                <w:color w:val="000000"/>
                <w:sz w:val="16"/>
                <w:szCs w:val="16"/>
                <w:lang w:eastAsia="en-GB"/>
              </w:rPr>
            </w:pPr>
            <w:r>
              <w:rPr>
                <w:bCs/>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nbsbgiqe1ssnsg0</w:t>
            </w:r>
          </w:p>
        </w:tc>
        <w:tc>
          <w:tcPr>
            <w:tcW w:w="2351" w:type="dxa"/>
            <w:tcBorders>
              <w:top w:val="single" w:sz="4" w:space="0" w:color="000000"/>
              <w:left w:val="single" w:sz="4" w:space="0" w:color="000000"/>
              <w:bottom w:val="single" w:sz="4" w:space="0" w:color="000000"/>
            </w:tcBorders>
            <w:shd w:fill="DBE5F1" w:val="clear"/>
          </w:tcPr>
          <w:p>
            <w:pPr>
              <w:pStyle w:val="Normal"/>
              <w:widowControl w:val="false"/>
              <w:bidi w:val="0"/>
              <w:spacing w:lineRule="auto" w:line="276" w:before="0" w:after="200"/>
              <w:rPr>
                <w:rFonts w:cs="Calibri"/>
                <w:color w:val="000000"/>
                <w:sz w:val="10"/>
                <w:szCs w:val="16"/>
              </w:rPr>
            </w:pPr>
            <w:r>
              <w:rPr>
                <w:rFonts w:cs="Calibri"/>
                <w:color w:val="000000"/>
                <w:sz w:val="10"/>
                <w:szCs w:val="16"/>
              </w:rPr>
              <w:t xml:space="preserve">Type: Network Security Group </w:t>
              <w:br/>
              <w:t xml:space="preserve">Name: nbsbgiqe1ssnsg0 </w:t>
              <w:br/>
              <w:t xml:space="preserve">Namespace: nbsbgiqe1ssnsg0 </w:t>
              <w:br/>
              <w:t xml:space="preserve">Location: northeurope </w:t>
              <w:br/>
              <w:t xml:space="preserve">ResourceGroup: NBSBgIqe1 </w:t>
              <w:br/>
              <w:t xml:space="preserve">Subnets: nbsbgiqe1subnet-0 </w:t>
              <w:br/>
              <w:t xml:space="preserve">SecurityRules[0].Name: allowSvcFabSMB </w:t>
              <w:br/>
              <w:t xml:space="preserve">SecurityRules[0].Description:  </w:t>
              <w:br/>
              <w:t xml:space="preserve">SecurityRules[0].SourceAddressPrefix: VirtualNetwork </w:t>
              <w:br/>
              <w:t xml:space="preserve">SecurityRules[0].Access: Allow </w:t>
              <w:br/>
              <w:t xml:space="preserve">SecurityRules[1].Name: allowSvcFabCluser </w:t>
              <w:br/>
              <w:t xml:space="preserve">SecurityRules[1].Description:  </w:t>
              <w:br/>
              <w:t xml:space="preserve">SecurityRules[1].SourceAddressPrefix: VirtualNetwork </w:t>
              <w:br/>
              <w:t xml:space="preserve">SecurityRules[1].Access: Allow </w:t>
              <w:br/>
              <w:t xml:space="preserve">SecurityRules[2].Name: allowSvcFabEphemeral </w:t>
              <w:br/>
              <w:t xml:space="preserve">SecurityRules[2].Description:  </w:t>
              <w:br/>
              <w:t xml:space="preserve">SecurityRules[2].SourceAddressPrefix: VirtualNetwork </w:t>
              <w:br/>
              <w:t xml:space="preserve">SecurityRules[2].Access: Allow </w:t>
              <w:br/>
              <w:t xml:space="preserve">SecurityRules[3].Name: allowSvcFabPortal </w:t>
              <w:br/>
              <w:t xml:space="preserve">SecurityRules[3].Description:  </w:t>
              <w:br/>
              <w:t xml:space="preserve">SecurityRules[3].SourceAddressPrefix: * </w:t>
              <w:br/>
              <w:t xml:space="preserve">SecurityRules[3].Access: Allow </w:t>
              <w:br/>
              <w:t xml:space="preserve">SecurityRules[4].Name: allowSvcFabClient </w:t>
              <w:br/>
              <w:t xml:space="preserve">SecurityRules[4].Description:  </w:t>
              <w:br/>
              <w:t xml:space="preserve">SecurityRules[4].SourceAddressPrefix: * </w:t>
              <w:br/>
              <w:t xml:space="preserve">SecurityRules[4].Access: Allow </w:t>
              <w:br/>
              <w:t xml:space="preserve">SecurityRules[5].Name: allowVNetRDP </w:t>
              <w:br/>
              <w:t xml:space="preserve">SecurityRules[5].Description:  </w:t>
              <w:br/>
              <w:t xml:space="preserve">SecurityRules[5].SourceAddressPrefix: VirtualNetwork </w:t>
              <w:br/>
              <w:t xml:space="preserve">SecurityRules[5].Access: Allow </w:t>
              <w:br/>
              <w:t xml:space="preserve">SecurityRules[6].Name: Allow-443 </w:t>
              <w:br/>
              <w:t xml:space="preserve">SecurityRules[6].Description: Allow-443 </w:t>
              <w:br/>
              <w:t xml:space="preserve">SecurityRules[6].SourceAddressPrefix: * </w:t>
              <w:br/>
              <w:t xml:space="preserve">SecurityRules[6].Access: Allow </w:t>
              <w:br/>
              <w:t xml:space="preserve">SecurityRules[7].Name: Allow-8637 </w:t>
              <w:br/>
              <w:t xml:space="preserve">SecurityRules[7].Description: Allow-8637 </w:t>
              <w:br/>
              <w:t xml:space="preserve">SecurityRules[7].SourceAddressPrefix: * </w:t>
              <w:br/>
              <w:t xml:space="preserve">SecurityRules[7].Access: Allow </w:t>
              <w:br/>
              <w:t xml:space="preserve">SecurityRules[8].Name: Allow-8978 </w:t>
              <w:br/>
              <w:t xml:space="preserve">SecurityRules[8].Description: Allow-8978 </w:t>
              <w:br/>
              <w:t xml:space="preserve">SecurityRules[8].SourceAddressPrefix: * </w:t>
              <w:br/>
              <w:t xml:space="preserve">SecurityRules[8].Access: Allow </w:t>
              <w:br/>
              <w:t xml:space="preserve">SecurityRules[9].Name: Allow-8640 </w:t>
              <w:br/>
              <w:t xml:space="preserve">SecurityRules[9].Description: Allow-8640 </w:t>
              <w:br/>
              <w:t xml:space="preserve">SecurityRules[9].SourceAddressPrefix: * </w:t>
              <w:br/>
              <w:t xml:space="preserve">SecurityRules[9].Access: Allow </w:t>
              <w:br/>
              <w:t xml:space="preserve">SecurityRules[10].Name: Allow-8317 </w:t>
              <w:br/>
              <w:t xml:space="preserve">SecurityRules[10].Description: Allow-8317 </w:t>
              <w:br/>
              <w:t xml:space="preserve">SecurityRules[10].SourceAddressPrefix: * </w:t>
              <w:br/>
              <w:t xml:space="preserve">SecurityRules[10].Access: Allow </w:t>
              <w:br/>
              <w:t xml:space="preserve">SecurityRules[11].Name: Allow-8258 </w:t>
              <w:br/>
              <w:t xml:space="preserve">SecurityRules[11].Description: Allow-8258 </w:t>
              <w:br/>
              <w:t xml:space="preserve">SecurityRules[11].SourceAddressPrefix: * </w:t>
              <w:br/>
              <w:t xml:space="preserve">SecurityRules[11].Access: Allow </w:t>
              <w:br/>
              <w:t xml:space="preserve">SecurityRules[12].Name: Allow-8985 </w:t>
              <w:br/>
              <w:t xml:space="preserve">SecurityRules[12].Description: Allow-8985 </w:t>
              <w:br/>
              <w:t xml:space="preserve">SecurityRules[12].SourceAddressPrefix: * </w:t>
              <w:br/>
              <w:t xml:space="preserve">SecurityRules[12].Access: Allow </w:t>
              <w:br/>
              <w:t xml:space="preserve">SecurityRules[13].Name: Allow-8201 </w:t>
              <w:br/>
              <w:t xml:space="preserve">SecurityRules[13].Description: Allow-8201 </w:t>
              <w:br/>
              <w:t xml:space="preserve">SecurityRules[13].SourceAddressPrefix: * </w:t>
              <w:br/>
              <w:t xml:space="preserve">SecurityRules[13].Access: Allow </w:t>
              <w:br/>
              <w:t xml:space="preserve">SecurityRules[14].Name: Allow-8202 </w:t>
              <w:br/>
              <w:t xml:space="preserve">SecurityRules[14].Description: Allow-8202 </w:t>
            </w:r>
            <w:r>
              <w:rPr>
                <w:rFonts w:cs="Calibri"/>
                <w:color w:val="000000"/>
                <w:sz w:val="18"/>
                <w:szCs w:val="16"/>
              </w:rPr>
              <w:br/>
            </w:r>
          </w:p>
        </w:tc>
        <w:tc>
          <w:tcPr>
            <w:tcW w:w="2354"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0"/>
                <w:szCs w:val="16"/>
              </w:rPr>
            </w:pPr>
            <w:r>
              <w:rPr>
                <w:rFonts w:cs="Calibri"/>
                <w:color w:val="000000"/>
                <w:sz w:val="10"/>
                <w:szCs w:val="16"/>
              </w:rPr>
              <w:t xml:space="preserve">SecurityRules[14].SourceAddressPrefix: * </w:t>
              <w:br/>
              <w:t xml:space="preserve">SecurityRules[14].Access: Allow </w:t>
              <w:br/>
              <w:t xml:space="preserve">SecurityRules[15].Name: Allow-8993 </w:t>
              <w:br/>
              <w:t xml:space="preserve">SecurityRules[15].Description: Allow-8993 </w:t>
              <w:br/>
              <w:t xml:space="preserve">SecurityRules[15].SourceAddressPrefix: * </w:t>
              <w:br/>
              <w:t xml:space="preserve">SecurityRules[15].Access: Allow </w:t>
              <w:br/>
              <w:t xml:space="preserve">SecurityRules[16].Name: Allow-8641 </w:t>
              <w:br/>
              <w:t xml:space="preserve">SecurityRules[16].Description: Allow-8641 </w:t>
              <w:br/>
              <w:t xml:space="preserve">SecurityRules[16].SourceAddressPrefix: * </w:t>
              <w:br/>
              <w:t xml:space="preserve">SecurityRules[16].Access: Allow </w:t>
              <w:br/>
              <w:t xml:space="preserve">Network Interfaces: </w:t>
              <w:br/>
              <w:t xml:space="preserve">DefaultSecurityRules[0].Name: AllowVnetInBound </w:t>
              <w:br/>
              <w:t xml:space="preserve">DefaultSecurityRules[0].Description: Allow inbound traffic from all VMs in VNET </w:t>
              <w:br/>
              <w:t xml:space="preserve">DefaultSecurityRules[0].SourceAddressPrefix: VirtualNetwork </w:t>
              <w:br/>
              <w:t xml:space="preserve">DefaultSecurityRules[0].Access: Allow </w:t>
              <w:br/>
              <w:t xml:space="preserve">DefaultSecurityRules[1].Name: AllowAzureLoadBalancerInBound </w:t>
              <w:br/>
              <w:t xml:space="preserve">DefaultSecurityRules[1].Description: Allow inbound traffic from azure load balancer </w:t>
              <w:br/>
              <w:t xml:space="preserve">DefaultSecurityRules[1].SourceAddressPrefix: AzureLoadBalancer </w:t>
              <w:br/>
              <w:t xml:space="preserve">DefaultSecurityRules[1].Access: Allow </w:t>
              <w:br/>
              <w:t xml:space="preserve">DefaultSecurityRules[2].Name: DenyAllInBound </w:t>
              <w:br/>
              <w:t xml:space="preserve">DefaultSecurityRules[2].Description: Deny all inbound traffic </w:t>
              <w:br/>
              <w:t xml:space="preserve">DefaultSecurityRules[2].SourceAddressPrefix: * </w:t>
              <w:br/>
              <w:t xml:space="preserve">DefaultSecurityRules[2].Access: Deny </w:t>
              <w:br/>
              <w:t xml:space="preserve">DefaultSecurityRules[3].Name: AllowVnetOutBound </w:t>
              <w:br/>
              <w:t xml:space="preserve">DefaultSecurityRules[3].Description: Allow outbound traffic from all VMs to all VMs in VNET </w:t>
              <w:br/>
              <w:t xml:space="preserve">DefaultSecurityRules[3].SourceAddressPrefix: VirtualNetwork </w:t>
              <w:br/>
              <w:t xml:space="preserve">DefaultSecurityRules[3].Access: Allow </w:t>
              <w:br/>
              <w:t xml:space="preserve">DefaultSecurityRules[4].Name: AllowInternetOutBound </w:t>
              <w:br/>
              <w:t xml:space="preserve">DefaultSecurityRules[4].Description: Allow outbound traffic from all VMs to Internet </w:t>
              <w:br/>
              <w:t xml:space="preserve">DefaultSecurityRules[4].SourceAddressPrefix: * </w:t>
              <w:br/>
              <w:t xml:space="preserve">DefaultSecurityRules[4].Access: Allow </w:t>
              <w:br/>
              <w:t xml:space="preserve">DefaultSecurityRules[5].Name: DenyAllOutBound </w:t>
              <w:br/>
              <w:t xml:space="preserve">DefaultSecurityRules[5].Description: Deny all outbound traffic </w:t>
              <w:br/>
              <w:t xml:space="preserve">DefaultSecurityRules[5].SourceAddressPrefix: * </w:t>
              <w:br/>
              <w:t xml:space="preserve">DefaultSecurityRules[5].Access: Deny </w:t>
              <w:br/>
              <w:t>ProvisioningState: Succeeded</w:t>
            </w:r>
          </w:p>
        </w:tc>
        <w:tc>
          <w:tcPr>
            <w:tcW w:w="2351" w:type="dxa"/>
            <w:tcBorders>
              <w:top w:val="single" w:sz="4" w:space="0" w:color="000000"/>
              <w:left w:val="single" w:sz="4" w:space="0" w:color="000000"/>
              <w:bottom w:val="single" w:sz="4" w:space="0" w:color="000000"/>
            </w:tcBorders>
            <w:shd w:fill="EAF1DD" w:val="clear"/>
          </w:tcPr>
          <w:p>
            <w:pPr>
              <w:pStyle w:val="Normal"/>
              <w:widowControl w:val="false"/>
              <w:bidi w:val="0"/>
              <w:spacing w:lineRule="auto" w:line="276" w:before="0" w:after="200"/>
              <w:rPr>
                <w:rFonts w:cs="Calibri"/>
                <w:color w:val="000000"/>
                <w:sz w:val="10"/>
                <w:szCs w:val="16"/>
              </w:rPr>
            </w:pPr>
            <w:r>
              <w:rPr>
                <w:rFonts w:cs="Calibri"/>
                <w:color w:val="000000"/>
                <w:sz w:val="10"/>
                <w:szCs w:val="16"/>
              </w:rPr>
              <w:t xml:space="preserve">Type: Network Security Group </w:t>
              <w:br/>
              <w:t xml:space="preserve">Name: nbsbgiqe1ssnsg0 </w:t>
              <w:br/>
              <w:t xml:space="preserve">Namespace: nbsbgiqe1ssnsg0 </w:t>
              <w:br/>
              <w:t xml:space="preserve">Location: northeurope </w:t>
              <w:br/>
              <w:t xml:space="preserve">ResourceGroup: NBSBgIqe1 </w:t>
              <w:br/>
              <w:t xml:space="preserve">Subnets: nbsbgiqe1subnet-0 </w:t>
              <w:br/>
              <w:t xml:space="preserve">SecurityRules[0].Name: allowSvcFabSMB </w:t>
              <w:br/>
              <w:t xml:space="preserve">SecurityRules[0].Description:  </w:t>
              <w:br/>
              <w:t xml:space="preserve">SecurityRules[0].SourceAddressPrefix: VirtualNetwork </w:t>
              <w:br/>
              <w:t xml:space="preserve">SecurityRules[0].Access: Allow </w:t>
              <w:br/>
              <w:t xml:space="preserve">SecurityRules[1].Name: allowSvcFabCluser </w:t>
              <w:br/>
              <w:t xml:space="preserve">SecurityRules[1].Description:  </w:t>
              <w:br/>
              <w:t xml:space="preserve">SecurityRules[1].SourceAddressPrefix: VirtualNetwork </w:t>
              <w:br/>
              <w:t xml:space="preserve">SecurityRules[1].Access: Allow </w:t>
              <w:br/>
              <w:t xml:space="preserve">SecurityRules[2].Name: allowSvcFabEphemeral </w:t>
              <w:br/>
              <w:t xml:space="preserve">SecurityRules[2].Description:  </w:t>
              <w:br/>
              <w:t xml:space="preserve">SecurityRules[2].SourceAddressPrefix: VirtualNetwork </w:t>
              <w:br/>
              <w:t xml:space="preserve">SecurityRules[2].Access: Allow </w:t>
              <w:br/>
              <w:t xml:space="preserve">SecurityRules[3].Name: allowSvcFabPortal </w:t>
              <w:br/>
              <w:t xml:space="preserve">SecurityRules[3].Description:  </w:t>
              <w:br/>
              <w:t xml:space="preserve">SecurityRules[3].SourceAddressPrefix: * </w:t>
              <w:br/>
              <w:t xml:space="preserve">SecurityRules[3].Access: Allow </w:t>
              <w:br/>
              <w:t xml:space="preserve">SecurityRules[4].Name: allowSvcFabClient </w:t>
              <w:br/>
              <w:t xml:space="preserve">SecurityRules[4].Description:  </w:t>
              <w:br/>
              <w:t xml:space="preserve">SecurityRules[4].SourceAddressPrefix: * </w:t>
              <w:br/>
              <w:t xml:space="preserve">SecurityRules[4].Access: Allow </w:t>
              <w:br/>
              <w:t xml:space="preserve">SecurityRules[5].Name: allowVNetRDP </w:t>
              <w:br/>
              <w:t xml:space="preserve">SecurityRules[5].Description:  </w:t>
              <w:br/>
              <w:t xml:space="preserve">SecurityRules[5].SourceAddressPrefix: VirtualNetwork </w:t>
              <w:br/>
              <w:t xml:space="preserve">SecurityRules[5].Access: Allow </w:t>
              <w:br/>
              <w:t xml:space="preserve">SecurityRules[6].Name: Allow-443 </w:t>
              <w:br/>
              <w:t xml:space="preserve">SecurityRules[6].Description: Allow-443 </w:t>
              <w:br/>
              <w:t xml:space="preserve">SecurityRules[6].SourceAddressPrefix: * </w:t>
              <w:br/>
              <w:t xml:space="preserve">SecurityRules[6].Access: Allow </w:t>
              <w:br/>
              <w:t xml:space="preserve">SecurityRules[7].Name: Allow-8637 </w:t>
              <w:br/>
              <w:t xml:space="preserve">SecurityRules[7].Description: Allow-8637 </w:t>
              <w:br/>
              <w:t xml:space="preserve">SecurityRules[7].SourceAddressPrefix: * </w:t>
              <w:br/>
              <w:t xml:space="preserve">SecurityRules[7].Access: Allow </w:t>
              <w:br/>
              <w:t xml:space="preserve">SecurityRules[8].Name: Allow-8978 </w:t>
              <w:br/>
              <w:t xml:space="preserve">SecurityRules[8].Description: Allow-8978 </w:t>
              <w:br/>
              <w:t xml:space="preserve">SecurityRules[8].SourceAddressPrefix: * </w:t>
              <w:br/>
              <w:t xml:space="preserve">SecurityRules[8].Access: Allow </w:t>
              <w:br/>
              <w:t xml:space="preserve">SecurityRules[9].Name: Allow-8640 </w:t>
              <w:br/>
              <w:t xml:space="preserve">SecurityRules[9].Description: Allow-8640 </w:t>
              <w:br/>
              <w:t xml:space="preserve">SecurityRules[9].SourceAddressPrefix: * </w:t>
              <w:br/>
              <w:t xml:space="preserve">SecurityRules[9].Access: Allow </w:t>
              <w:br/>
              <w:t xml:space="preserve">SecurityRules[10].Name: Allow-8317 </w:t>
              <w:br/>
              <w:t xml:space="preserve">SecurityRules[10].Description: Allow-8317 </w:t>
              <w:br/>
              <w:t xml:space="preserve">SecurityRules[10].SourceAddressPrefix: * </w:t>
              <w:br/>
              <w:t xml:space="preserve">SecurityRules[10].Access: Allow </w:t>
              <w:br/>
              <w:t xml:space="preserve">SecurityRules[11].Name: Allow-8258 </w:t>
              <w:br/>
              <w:t xml:space="preserve">SecurityRules[11].Description: Allow-8258 </w:t>
              <w:br/>
              <w:t xml:space="preserve">SecurityRules[11].SourceAddressPrefix: * </w:t>
              <w:br/>
              <w:t xml:space="preserve">SecurityRules[11].Access: Allow </w:t>
              <w:br/>
              <w:t xml:space="preserve">SecurityRules[12].Name: Allow-8985 </w:t>
              <w:br/>
              <w:t xml:space="preserve">SecurityRules[12].Description: Allow-8985 </w:t>
              <w:br/>
              <w:t xml:space="preserve">SecurityRules[12].SourceAddressPrefix: * </w:t>
              <w:br/>
              <w:t xml:space="preserve">SecurityRules[12].Access: Allow </w:t>
              <w:br/>
              <w:t xml:space="preserve">SecurityRules[13].Name: Allow-8201 </w:t>
              <w:br/>
              <w:t xml:space="preserve">SecurityRules[13].Description: Allow-8201 </w:t>
              <w:br/>
              <w:t xml:space="preserve">SecurityRules[13].SourceAddressPrefix: * </w:t>
              <w:br/>
              <w:t xml:space="preserve">SecurityRules[13].Access: Allow </w:t>
              <w:br/>
              <w:t xml:space="preserve">SecurityRules[14].Name: Allow-8202 </w:t>
              <w:br/>
              <w:t xml:space="preserve">SecurityRules[14].Description: Allow-8202 </w:t>
            </w:r>
            <w:r>
              <w:rPr>
                <w:rFonts w:cs="Calibri"/>
                <w:color w:val="000000"/>
                <w:sz w:val="18"/>
                <w:szCs w:val="16"/>
              </w:rPr>
              <w:br/>
            </w:r>
          </w:p>
        </w:tc>
        <w:tc>
          <w:tcPr>
            <w:tcW w:w="2354"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0"/>
                <w:szCs w:val="16"/>
              </w:rPr>
            </w:pPr>
            <w:r>
              <w:rPr>
                <w:rFonts w:cs="Calibri"/>
                <w:color w:val="000000"/>
                <w:sz w:val="10"/>
                <w:szCs w:val="16"/>
              </w:rPr>
              <w:t xml:space="preserve">SecurityRules[14].SourceAddressPrefix: * </w:t>
              <w:br/>
              <w:t xml:space="preserve">SecurityRules[14].Access: Allow </w:t>
              <w:br/>
              <w:t xml:space="preserve">SecurityRules[15].Name: Allow-8993 </w:t>
              <w:br/>
              <w:t xml:space="preserve">SecurityRules[15].Description: Allow-8993 </w:t>
              <w:br/>
              <w:t xml:space="preserve">SecurityRules[15].SourceAddressPrefix: * </w:t>
              <w:br/>
              <w:t xml:space="preserve">SecurityRules[15].Access: Allow </w:t>
              <w:br/>
              <w:t xml:space="preserve">SecurityRules[16].Name: Allow-8641 </w:t>
              <w:br/>
              <w:t xml:space="preserve">SecurityRules[16].Description: Allow-8641 </w:t>
              <w:br/>
              <w:t xml:space="preserve">SecurityRules[16].SourceAddressPrefix: * </w:t>
              <w:br/>
              <w:t xml:space="preserve">SecurityRules[16].Access: Allow </w:t>
              <w:br/>
              <w:t xml:space="preserve">Network Interfaces: </w:t>
              <w:br/>
              <w:t xml:space="preserve">DefaultSecurityRules[0].Name: AllowVnetInBound </w:t>
              <w:br/>
              <w:t xml:space="preserve">DefaultSecurityRules[0].Description: Allow inbound traffic from all VMs in VNET </w:t>
              <w:br/>
              <w:t xml:space="preserve">DefaultSecurityRules[0].SourceAddressPrefix: VirtualNetwork </w:t>
              <w:br/>
              <w:t xml:space="preserve">DefaultSecurityRules[0].Access: Allow </w:t>
              <w:br/>
              <w:t xml:space="preserve">DefaultSecurityRules[1].Name: AllowAzureLoadBalancerInBound </w:t>
              <w:br/>
              <w:t xml:space="preserve">DefaultSecurityRules[1].Description: Allow inbound traffic from azure load balancer </w:t>
              <w:br/>
              <w:t xml:space="preserve">DefaultSecurityRules[1].SourceAddressPrefix: AzureLoadBalancer </w:t>
              <w:br/>
              <w:t xml:space="preserve">DefaultSecurityRules[1].Access: Allow </w:t>
              <w:br/>
              <w:t xml:space="preserve">DefaultSecurityRules[2].Name: DenyAllInBound </w:t>
              <w:br/>
              <w:t xml:space="preserve">DefaultSecurityRules[2].Description: Deny all inbound traffic </w:t>
              <w:br/>
              <w:t xml:space="preserve">DefaultSecurityRules[2].SourceAddressPrefix: * </w:t>
              <w:br/>
              <w:t xml:space="preserve">DefaultSecurityRules[2].Access: Deny </w:t>
              <w:br/>
              <w:t xml:space="preserve">DefaultSecurityRules[3].Name: AllowVnetOutBound </w:t>
              <w:br/>
              <w:t xml:space="preserve">DefaultSecurityRules[3].Description: Allow outbound traffic from all VMs to all VMs in VNET </w:t>
              <w:br/>
              <w:t xml:space="preserve">DefaultSecurityRules[3].SourceAddressPrefix: VirtualNetwork </w:t>
              <w:br/>
              <w:t xml:space="preserve">DefaultSecurityRules[3].Access: Allow </w:t>
              <w:br/>
              <w:t xml:space="preserve">DefaultSecurityRules[4].Name: AllowInternetOutBound </w:t>
              <w:br/>
              <w:t xml:space="preserve">DefaultSecurityRules[4].Description: Allow outbound traffic from all VMs to Internet </w:t>
              <w:br/>
              <w:t xml:space="preserve">DefaultSecurityRules[4].SourceAddressPrefix: * </w:t>
              <w:br/>
              <w:t xml:space="preserve">DefaultSecurityRules[4].Access: Allow </w:t>
              <w:br/>
              <w:t xml:space="preserve">DefaultSecurityRules[5].Name: DenyAllOutBound </w:t>
              <w:br/>
              <w:t xml:space="preserve">DefaultSecurityRules[5].Description: Deny all outbound traffic </w:t>
              <w:br/>
              <w:t xml:space="preserve">DefaultSecurityRules[5].SourceAddressPrefix: * </w:t>
              <w:br/>
              <w:t xml:space="preserve">DefaultSecurityRules[5].Access: Deny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spacing w:lineRule="auto" w:line="240" w:before="0" w:after="0"/>
              <w:rPr>
                <w:rFonts w:cs="Calibri"/>
                <w:color w:val="000000"/>
                <w:sz w:val="18"/>
                <w:szCs w:val="18"/>
                <w:lang w:val="en-US"/>
              </w:rPr>
            </w:pPr>
            <w:r>
              <w:rPr>
                <w:rFonts w:cs="Calibri"/>
                <w:color w:val="000000"/>
                <w:sz w:val="18"/>
                <w:szCs w:val="18"/>
              </w:rPr>
              <w:t>Pass</w:t>
            </w:r>
          </w:p>
          <w:p>
            <w:pPr>
              <w:pStyle w:val="Tabletext"/>
              <w:spacing w:before="40" w:after="40"/>
              <w:rPr>
                <w:rFonts w:cs="Calibri"/>
                <w:color w:val="000000"/>
                <w:sz w:val="16"/>
                <w:szCs w:val="16"/>
                <w:lang w:val="en-US" w:eastAsia="en-GB"/>
              </w:rPr>
            </w:pPr>
            <w:r>
              <w:rPr>
                <w:rFonts w:cs="Calibri"/>
                <w:color w:val="000000"/>
                <w:sz w:val="16"/>
                <w:szCs w:val="16"/>
                <w:lang w:val="en-US" w:eastAsia="en-GB"/>
              </w:rPr>
            </w:r>
          </w:p>
        </w:tc>
      </w:tr>
      <w:tr>
        <w:trPr>
          <w:trHeight w:val="8141" w:hRule="atLeast"/>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color w:val="000000"/>
                <w:sz w:val="16"/>
                <w:szCs w:val="16"/>
                <w:lang w:eastAsia="en-GB"/>
              </w:rPr>
            </w:pPr>
            <w:r>
              <w:rPr>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nbsbgiqe1ssnsg1</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0"/>
                <w:szCs w:val="18"/>
              </w:rPr>
            </w:pPr>
            <w:r>
              <w:rPr>
                <w:rFonts w:cs="Calibri"/>
                <w:color w:val="000000"/>
                <w:sz w:val="10"/>
                <w:szCs w:val="18"/>
              </w:rPr>
              <w:t xml:space="preserve">Type: Network Security Group </w:t>
              <w:br/>
              <w:t xml:space="preserve">Name: nbsbgiqe1ssnsg1 </w:t>
              <w:br/>
              <w:t xml:space="preserve">Namespace: nbsbgiqe1ssnsg1 </w:t>
              <w:br/>
              <w:t xml:space="preserve">Location: northeurope </w:t>
              <w:br/>
              <w:t xml:space="preserve">ResourceGroup: NBSBgIqe1 </w:t>
              <w:br/>
              <w:t xml:space="preserve">Subnets: nbsbgiqe1subnet-1 </w:t>
              <w:br/>
              <w:t xml:space="preserve">SecurityRules[0].Name: allowSvcFabSMB </w:t>
              <w:br/>
              <w:t xml:space="preserve">SecurityRules[0].Description:  </w:t>
              <w:br/>
              <w:t xml:space="preserve">SecurityRules[0].SourceAddressPrefix: VirtualNetwork </w:t>
              <w:br/>
              <w:t xml:space="preserve">SecurityRules[0].Access: Allow </w:t>
              <w:br/>
              <w:t xml:space="preserve">SecurityRules[1].Name: allowSvcFabCluser </w:t>
              <w:br/>
              <w:t xml:space="preserve">SecurityRules[1].Description:  </w:t>
              <w:br/>
              <w:t xml:space="preserve">SecurityRules[1].SourceAddressPrefix: VirtualNetwork </w:t>
              <w:br/>
              <w:t xml:space="preserve">SecurityRules[1].Access: Allow </w:t>
              <w:br/>
              <w:t xml:space="preserve">SecurityRules[2].Name: allowSvcFabEphemeral </w:t>
              <w:br/>
              <w:t xml:space="preserve">SecurityRules[2].Description:  </w:t>
              <w:br/>
              <w:t xml:space="preserve">SecurityRules[2].SourceAddressPrefix: VirtualNetwork </w:t>
              <w:br/>
              <w:t xml:space="preserve">SecurityRules[2].Access: Allow </w:t>
              <w:br/>
              <w:t xml:space="preserve">SecurityRules[3].Name: allowSvcFabPortal </w:t>
              <w:br/>
              <w:t xml:space="preserve">SecurityRules[3].Description:  </w:t>
              <w:br/>
              <w:t xml:space="preserve">SecurityRules[3].SourceAddressPrefix: * </w:t>
              <w:br/>
              <w:t xml:space="preserve">SecurityRules[3].Access: Allow </w:t>
              <w:br/>
              <w:t xml:space="preserve">SecurityRules[4].Name: allowSvcFabClient </w:t>
              <w:br/>
              <w:t xml:space="preserve">SecurityRules[4].Description:  </w:t>
              <w:br/>
              <w:t xml:space="preserve">SecurityRules[4].SourceAddressPrefix: * </w:t>
              <w:br/>
              <w:t xml:space="preserve">SecurityRules[4].Access: Allow </w:t>
              <w:br/>
              <w:t xml:space="preserve">SecurityRules[5].Name: allowVNetRDP </w:t>
              <w:br/>
              <w:t xml:space="preserve">SecurityRules[5].Description:  </w:t>
              <w:br/>
              <w:t xml:space="preserve">SecurityRules[5].SourceAddressPrefix: VirtualNetwork </w:t>
              <w:br/>
              <w:t xml:space="preserve">SecurityRules[5].Access: Allow </w:t>
              <w:br/>
              <w:t xml:space="preserve">SecurityRules[6].Name: Allow-443 </w:t>
              <w:br/>
              <w:t xml:space="preserve">SecurityRules[6].Description: Allow-443 </w:t>
              <w:br/>
              <w:t xml:space="preserve">SecurityRules[6].SourceAddressPrefix: * </w:t>
              <w:br/>
              <w:t xml:space="preserve">SecurityRules[6].Access: Allow </w:t>
              <w:br/>
              <w:t xml:space="preserve">Network Interfaces: </w:t>
              <w:br/>
              <w:t xml:space="preserve">DefaultSecurityRules[0].Name: AllowVnetInBound </w:t>
              <w:br/>
              <w:t xml:space="preserve">DefaultSecurityRules[0].Description: Allow inbound traffic from all VMs in VNET </w:t>
              <w:br/>
              <w:t xml:space="preserve">DefaultSecurityRules[0].SourceAddressPrefix: VirtualNetwork </w:t>
              <w:br/>
              <w:t xml:space="preserve">DefaultSecurityRules[0].Access: Allow </w:t>
              <w:br/>
              <w:t xml:space="preserve">DefaultSecurityRules[1].Name: AllowAzureLoadBalancerInBound </w:t>
              <w:br/>
              <w:t xml:space="preserve">DefaultSecurityRules[1].Description: Allow inbound traffic from azure load balancer </w:t>
              <w:br/>
              <w:t xml:space="preserve">DefaultSecurityRules[1].SourceAddressPrefix: AzureLoadBalancer </w:t>
              <w:br/>
              <w:t xml:space="preserve">DefaultSecurityRules[1].Access: Allow </w:t>
              <w:br/>
              <w:t xml:space="preserve">DefaultSecurityRules[2].Name: DenyAllInBound </w:t>
              <w:br/>
              <w:t xml:space="preserve">DefaultSecurityRules[2].Description: Deny all inbound traffic </w:t>
              <w:br/>
              <w:t xml:space="preserve">DefaultSecurityRules[2].SourceAddressPrefix: * </w:t>
              <w:br/>
              <w:t xml:space="preserve">DefaultSecurityRules[2].Access: Deny </w:t>
              <w:br/>
              <w:t xml:space="preserve">DefaultSecurityRules[3].Name: AllowVnetOutBound </w:t>
              <w:br/>
              <w:t xml:space="preserve">DefaultSecurityRules[3].Description: Allow outbound traffic from all VMs to all VMs in VNET </w:t>
              <w:br/>
              <w:t xml:space="preserve">DefaultSecurityRules[3].SourceAddressPrefix: VirtualNetwork </w:t>
              <w:br/>
              <w:t xml:space="preserve">DefaultSecurityRules[3].Access: Allow </w:t>
              <w:br/>
              <w:t xml:space="preserve">DefaultSecurityRules[4].Name: AllowInternetOutBound </w:t>
              <w:br/>
              <w:t xml:space="preserve">DefaultSecurityRules[4].Description: Allow outbound traffic from all VMs to Internet </w:t>
              <w:br/>
              <w:t xml:space="preserve">DefaultSecurityRules[4].SourceAddressPrefix: * </w:t>
              <w:br/>
              <w:t xml:space="preserve">DefaultSecurityRules[4].Access: Allow </w:t>
              <w:br/>
              <w:t xml:space="preserve">DefaultSecurityRules[5].Name: DenyAllOutBound </w:t>
              <w:br/>
              <w:t xml:space="preserve">DefaultSecurityRules[5].Description: Deny all outbound traffic </w:t>
              <w:br/>
              <w:t xml:space="preserve">DefaultSecurityRules[5].SourceAddressPrefix: * </w:t>
              <w:br/>
              <w:t xml:space="preserve">DefaultSecurityRules[5].Access: Deny </w:t>
              <w:br/>
              <w:t>ProvisioningState: Succeeded</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0"/>
                <w:szCs w:val="18"/>
              </w:rPr>
            </w:pPr>
            <w:r>
              <w:rPr>
                <w:rFonts w:cs="Calibri"/>
                <w:color w:val="000000"/>
                <w:sz w:val="10"/>
                <w:szCs w:val="18"/>
              </w:rPr>
              <w:t xml:space="preserve">Type: Network Security Group </w:t>
              <w:br/>
              <w:t xml:space="preserve">Name: nbsbgiqe1ssnsg1 </w:t>
              <w:br/>
              <w:t xml:space="preserve">Namespace: nbsbgiqe1ssnsg1 </w:t>
              <w:br/>
              <w:t xml:space="preserve">Location: northeurope </w:t>
              <w:br/>
              <w:t xml:space="preserve">ResourceGroup: NBSBgIqe1 </w:t>
              <w:br/>
              <w:t xml:space="preserve">Subnets: nbsbgiqe1subnet-1 </w:t>
              <w:br/>
              <w:t xml:space="preserve">SecurityRules[0].Name: allowSvcFabSMB </w:t>
              <w:br/>
              <w:t xml:space="preserve">SecurityRules[0].Description:  </w:t>
              <w:br/>
              <w:t xml:space="preserve">SecurityRules[0].SourceAddressPrefix: VirtualNetwork </w:t>
              <w:br/>
              <w:t xml:space="preserve">SecurityRules[0].Access: Allow </w:t>
              <w:br/>
              <w:t xml:space="preserve">SecurityRules[1].Name: allowSvcFabCluser </w:t>
              <w:br/>
              <w:t xml:space="preserve">SecurityRules[1].Description:  </w:t>
              <w:br/>
              <w:t xml:space="preserve">SecurityRules[1].SourceAddressPrefix: VirtualNetwork </w:t>
              <w:br/>
              <w:t xml:space="preserve">SecurityRules[1].Access: Allow </w:t>
              <w:br/>
              <w:t xml:space="preserve">SecurityRules[2].Name: allowSvcFabEphemeral </w:t>
              <w:br/>
              <w:t xml:space="preserve">SecurityRules[2].Description:  </w:t>
              <w:br/>
              <w:t xml:space="preserve">SecurityRules[2].SourceAddressPrefix: VirtualNetwork </w:t>
              <w:br/>
              <w:t xml:space="preserve">SecurityRules[2].Access: Allow </w:t>
              <w:br/>
              <w:t xml:space="preserve">SecurityRules[3].Name: allowSvcFabPortal </w:t>
              <w:br/>
              <w:t xml:space="preserve">SecurityRules[3].Description:  </w:t>
              <w:br/>
              <w:t xml:space="preserve">SecurityRules[3].SourceAddressPrefix: * </w:t>
              <w:br/>
              <w:t xml:space="preserve">SecurityRules[3].Access: Allow </w:t>
              <w:br/>
              <w:t xml:space="preserve">SecurityRules[4].Name: allowSvcFabClient </w:t>
              <w:br/>
              <w:t xml:space="preserve">SecurityRules[4].Description:  </w:t>
              <w:br/>
              <w:t xml:space="preserve">SecurityRules[4].SourceAddressPrefix: * </w:t>
              <w:br/>
              <w:t xml:space="preserve">SecurityRules[4].Access: Allow </w:t>
              <w:br/>
              <w:t xml:space="preserve">SecurityRules[5].Name: allowVNetRDP </w:t>
              <w:br/>
              <w:t xml:space="preserve">SecurityRules[5].Description:  </w:t>
              <w:br/>
              <w:t xml:space="preserve">SecurityRules[5].SourceAddressPrefix: VirtualNetwork </w:t>
              <w:br/>
              <w:t xml:space="preserve">SecurityRules[5].Access: Allow </w:t>
              <w:br/>
              <w:t xml:space="preserve">SecurityRules[6].Name: Allow-443 </w:t>
              <w:br/>
              <w:t xml:space="preserve">SecurityRules[6].Description: Allow-443 </w:t>
              <w:br/>
              <w:t xml:space="preserve">SecurityRules[6].SourceAddressPrefix: * </w:t>
              <w:br/>
              <w:t xml:space="preserve">SecurityRules[6].Access: Allow </w:t>
              <w:br/>
              <w:t xml:space="preserve">Network Interfaces: </w:t>
              <w:br/>
              <w:t xml:space="preserve">DefaultSecurityRules[0].Name: AllowVnetInBound </w:t>
              <w:br/>
              <w:t xml:space="preserve">DefaultSecurityRules[0].Description: Allow inbound traffic from all VMs in VNET </w:t>
              <w:br/>
              <w:t xml:space="preserve">DefaultSecurityRules[0].SourceAddressPrefix: VirtualNetwork </w:t>
              <w:br/>
              <w:t xml:space="preserve">DefaultSecurityRules[0].Access: Allow </w:t>
              <w:br/>
              <w:t xml:space="preserve">DefaultSecurityRules[1].Name: AllowAzureLoadBalancerInBound </w:t>
              <w:br/>
              <w:t xml:space="preserve">DefaultSecurityRules[1].Description: Allow inbound traffic from azure load balancer </w:t>
              <w:br/>
              <w:t xml:space="preserve">DefaultSecurityRules[1].SourceAddressPrefix: AzureLoadBalancer </w:t>
              <w:br/>
              <w:t xml:space="preserve">DefaultSecurityRules[1].Access: Allow </w:t>
              <w:br/>
              <w:t xml:space="preserve">DefaultSecurityRules[2].Name: DenyAllInBound </w:t>
              <w:br/>
              <w:t xml:space="preserve">DefaultSecurityRules[2].Description: Deny all inbound traffic </w:t>
              <w:br/>
              <w:t xml:space="preserve">DefaultSecurityRules[2].SourceAddressPrefix: * </w:t>
              <w:br/>
              <w:t xml:space="preserve">DefaultSecurityRules[2].Access: Deny </w:t>
              <w:br/>
              <w:t xml:space="preserve">DefaultSecurityRules[3].Name: AllowVnetOutBound </w:t>
              <w:br/>
              <w:t xml:space="preserve">DefaultSecurityRules[3].Description: Allow outbound traffic from all VMs to all VMs in VNET </w:t>
              <w:br/>
              <w:t xml:space="preserve">DefaultSecurityRules[3].SourceAddressPrefix: VirtualNetwork </w:t>
              <w:br/>
              <w:t xml:space="preserve">DefaultSecurityRules[3].Access: Allow </w:t>
              <w:br/>
              <w:t xml:space="preserve">DefaultSecurityRules[4].Name: AllowInternetOutBound </w:t>
              <w:br/>
              <w:t xml:space="preserve">DefaultSecurityRules[4].Description: Allow outbound traffic from all VMs to Internet </w:t>
              <w:br/>
              <w:t xml:space="preserve">DefaultSecurityRules[4].SourceAddressPrefix: * </w:t>
              <w:br/>
              <w:t xml:space="preserve">DefaultSecurityRules[4].Access: Allow </w:t>
              <w:br/>
              <w:t xml:space="preserve">DefaultSecurityRules[5].Name: DenyAllOutBound </w:t>
              <w:br/>
              <w:t xml:space="preserve">DefaultSecurityRules[5].Description: Deny all outbound traffic </w:t>
              <w:br/>
              <w:t xml:space="preserve">DefaultSecurityRules[5].SourceAddressPrefix: * </w:t>
              <w:br/>
              <w:t xml:space="preserve">DefaultSecurityRules[5].Access: Deny </w:t>
              <w:br/>
              <w:t>ProvisioningState: Succeeded</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color w:val="000000"/>
                <w:sz w:val="16"/>
                <w:szCs w:val="16"/>
                <w:lang w:eastAsia="en-GB"/>
              </w:rPr>
            </w:pPr>
            <w:r>
              <w:rPr>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nbsbgiqe1AppInsights</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Application Insights </w:t>
              <w:br/>
              <w:t xml:space="preserve">Location: northeurope </w:t>
              <w:br/>
              <w:t xml:space="preserve">ResourceGroup: NBSBgIqe1 </w:t>
              <w:br/>
              <w:t xml:space="preserve">PricingPlan: Basic </w:t>
              <w:br/>
              <w:t xml:space="preserve">IsCapped: False </w:t>
              <w:br/>
              <w:t>DailyCap: 20 GB</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Application Insights </w:t>
              <w:br/>
              <w:t xml:space="preserve">Location: northeurope </w:t>
              <w:br/>
              <w:t xml:space="preserve">ResourceGroup: NBSBgIqe1 </w:t>
              <w:br/>
              <w:t xml:space="preserve">PricingPlan: Basic </w:t>
              <w:br/>
              <w:t xml:space="preserve">IsCapped: False </w:t>
              <w:br/>
              <w:t>DailyCap: 20 GB</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bCs/>
                <w:color w:val="000000"/>
                <w:sz w:val="16"/>
                <w:szCs w:val="16"/>
                <w:lang w:eastAsia="en-GB"/>
              </w:rPr>
            </w:pPr>
            <w:r>
              <w:rPr>
                <w:rFonts w:cs="Calibri"/>
                <w:bCs/>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nbsbgiqe1adls</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Datalake Store </w:t>
              <w:br/>
              <w:t xml:space="preserve">Location: northeurope </w:t>
              <w:br/>
              <w:t>ResourceGroup: NBSBgIqe1</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Datalake Store </w:t>
              <w:br/>
              <w:t xml:space="preserve">Location: northeurope </w:t>
              <w:br/>
              <w:t>ResourceGroup: NBSBgIqe1</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nbsbgiqe1adla</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Datalake Analytics </w:t>
              <w:br/>
              <w:t xml:space="preserve">Location: northeurope </w:t>
              <w:br/>
              <w:t>ResourceGroup: NBSBgIqe1</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Datalake Analytics </w:t>
              <w:br/>
              <w:t xml:space="preserve">Location: northeurope </w:t>
              <w:br/>
              <w:t>ResourceGroup: NBSBgIqe1</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bCs/>
                <w:color w:val="000000"/>
                <w:sz w:val="16"/>
                <w:szCs w:val="16"/>
                <w:lang w:eastAsia="en-GB"/>
              </w:rPr>
            </w:pPr>
            <w:r>
              <w:rPr>
                <w:rFonts w:cs="Calibri"/>
                <w:bCs/>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nbsbgiqe1-appgateway</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Application Gateway </w:t>
              <w:br/>
              <w:t xml:space="preserve">Location: northeurope </w:t>
              <w:br/>
              <w:t xml:space="preserve">ResourceGroup: NBSBgIqe1 </w:t>
              <w:br/>
              <w:t xml:space="preserve">Sku Name: Standard_Small </w:t>
              <w:br/>
              <w:t xml:space="preserve">Sku Tier: Standard </w:t>
              <w:br/>
              <w:t>Sku Capacity: 1</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Application Gateway </w:t>
              <w:br/>
              <w:t xml:space="preserve">Location: northeurope </w:t>
              <w:br/>
              <w:t xml:space="preserve">ResourceGroup: NBSBgIqe1 </w:t>
              <w:br/>
              <w:t xml:space="preserve">Sku Name: Standard_Small </w:t>
              <w:br/>
              <w:t xml:space="preserve">Sku Tier: Standard </w:t>
              <w:br/>
              <w:t>Sku Capacity: 1</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r>
        <w:trPr>
          <w:cantSplit w:val="true"/>
        </w:trPr>
        <w:tc>
          <w:tcPr>
            <w:tcW w:w="521" w:type="dxa"/>
            <w:tcBorders>
              <w:top w:val="single" w:sz="4" w:space="0" w:color="000000"/>
              <w:left w:val="single" w:sz="4" w:space="0" w:color="000000"/>
              <w:bottom w:val="single" w:sz="4" w:space="0" w:color="000000"/>
            </w:tcBorders>
            <w:shd w:fill="DBE5F1" w:val="clear"/>
          </w:tcPr>
          <w:p>
            <w:pPr>
              <w:pStyle w:val="Tabletext"/>
              <w:numPr>
                <w:ilvl w:val="0"/>
                <w:numId w:val="4"/>
              </w:numPr>
              <w:snapToGrid w:val="false"/>
              <w:spacing w:before="40" w:after="40"/>
              <w:rPr>
                <w:rFonts w:cs="Calibri"/>
                <w:color w:val="000000"/>
                <w:sz w:val="16"/>
                <w:szCs w:val="16"/>
                <w:lang w:eastAsia="en-GB"/>
              </w:rPr>
            </w:pPr>
            <w:r>
              <w:rPr>
                <w:rFonts w:cs="Calibri"/>
                <w:color w:val="000000"/>
                <w:sz w:val="16"/>
                <w:szCs w:val="16"/>
                <w:lang w:eastAsia="en-GB"/>
              </w:rPr>
            </w:r>
          </w:p>
        </w:tc>
        <w:tc>
          <w:tcPr>
            <w:tcW w:w="2766"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api-nbsbgiqe1</w:t>
            </w:r>
          </w:p>
        </w:tc>
        <w:tc>
          <w:tcPr>
            <w:tcW w:w="4705" w:type="dxa"/>
            <w:gridSpan w:val="2"/>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API Management </w:t>
              <w:br/>
              <w:t xml:space="preserve">Location: North Europe </w:t>
              <w:br/>
              <w:t xml:space="preserve">ResourceGroup: NBSBgIqe1 </w:t>
              <w:br/>
              <w:t xml:space="preserve">Sku: Basic </w:t>
              <w:br/>
              <w:t>Capacity: 1</w:t>
            </w:r>
          </w:p>
        </w:tc>
        <w:tc>
          <w:tcPr>
            <w:tcW w:w="4705" w:type="dxa"/>
            <w:gridSpan w:val="2"/>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API Management </w:t>
              <w:br/>
              <w:t xml:space="preserve">Location: North Europe </w:t>
              <w:br/>
              <w:t xml:space="preserve">ResourceGroup: NBSBgIqe1 </w:t>
              <w:br/>
              <w:t xml:space="preserve">Sku: Basic </w:t>
              <w:br/>
              <w:t>Capacity: 1</w:t>
            </w:r>
          </w:p>
        </w:tc>
        <w:tc>
          <w:tcPr>
            <w:tcW w:w="981" w:type="dxa"/>
            <w:tcBorders>
              <w:top w:val="single" w:sz="4" w:space="0" w:color="000000"/>
              <w:left w:val="single" w:sz="4" w:space="0" w:color="000000"/>
              <w:bottom w:val="single" w:sz="4" w:space="0" w:color="000000"/>
              <w:right w:val="single" w:sz="4" w:space="0" w:color="000000"/>
            </w:tcBorders>
            <w:shd w:fill="EAF1DD" w:val="clear"/>
          </w:tcPr>
          <w:p>
            <w:pPr>
              <w:pStyle w:val="Normal"/>
              <w:widowControl w:val="false"/>
              <w:bidi w:val="0"/>
              <w:spacing w:lineRule="auto" w:line="276" w:before="0" w:after="200"/>
              <w:rPr>
                <w:rFonts w:cs="Calibri"/>
                <w:color w:val="000000"/>
                <w:sz w:val="18"/>
                <w:szCs w:val="18"/>
              </w:rPr>
            </w:pPr>
            <w:r>
              <w:rPr>
                <w:rFonts w:cs="Calibri"/>
                <w:color w:val="000000"/>
                <w:sz w:val="18"/>
                <w:szCs w:val="18"/>
              </w:rPr>
              <w:t>Pass</w:t>
            </w:r>
          </w:p>
        </w:tc>
      </w:tr>
    </w:tbl>
    <w:p>
      <w:pPr>
        <w:pStyle w:val="Caption"/>
        <w:rPr/>
      </w:pPr>
      <w:bookmarkStart w:id="7" w:name="__RefHeading___Toc21099747"/>
      <w:bookmarkEnd w:id="7"/>
      <w:r>
        <w:rPr/>
        <w:t xml:space="preserve">Table </w:t>
      </w:r>
      <w:r>
        <w:rPr/>
        <w:fldChar w:fldCharType="begin"/>
      </w:r>
      <w:r>
        <w:rPr/>
        <w:instrText> SEQ Table \* ARABIC </w:instrText>
      </w:r>
      <w:r>
        <w:rPr/>
        <w:fldChar w:fldCharType="separate"/>
      </w:r>
      <w:r>
        <w:rPr/>
        <w:t>1</w:t>
      </w:r>
      <w:r>
        <w:rPr/>
        <w:fldChar w:fldCharType="end"/>
      </w:r>
      <w:r>
        <w:rPr/>
        <w:t>: Hardware Specification and Verification</w:t>
      </w:r>
    </w:p>
    <w:p>
      <w:pPr>
        <w:pStyle w:val="Normal"/>
        <w:rPr/>
      </w:pPr>
      <w:r>
        <w:rPr/>
      </w:r>
    </w:p>
    <w:p>
      <w:pPr>
        <w:pStyle w:val="Heading2"/>
        <w:ind w:left="0" w:right="-75" w:hanging="0"/>
        <w:rPr/>
      </w:pPr>
      <w:bookmarkStart w:id="8" w:name="__RefHeading___Toc21099742"/>
      <w:bookmarkEnd w:id="8"/>
      <w:r>
        <w:rPr/>
        <w:t>Standard Software Specification and Verification</w:t>
      </w:r>
    </w:p>
    <w:p>
      <w:pPr>
        <w:pStyle w:val="NoSpacing"/>
        <w:widowControl w:val="false"/>
        <w:bidi w:val="0"/>
        <w:jc w:val="left"/>
        <w:rPr/>
      </w:pPr>
      <w:r>
        <w:rPr/>
      </w:r>
    </w:p>
    <w:tbl>
      <w:tblPr>
        <w:tblW w:w="4950" w:type="pct"/>
        <w:jc w:val="left"/>
        <w:tblInd w:w="-39" w:type="dxa"/>
        <w:tblCellMar>
          <w:top w:w="0" w:type="dxa"/>
          <w:left w:w="108" w:type="dxa"/>
          <w:bottom w:w="0" w:type="dxa"/>
          <w:right w:w="108" w:type="dxa"/>
        </w:tblCellMar>
      </w:tblPr>
      <w:tblGrid>
        <w:gridCol w:w="709"/>
        <w:gridCol w:w="1801"/>
        <w:gridCol w:w="5142"/>
        <w:gridCol w:w="5142"/>
        <w:gridCol w:w="1024"/>
      </w:tblGrid>
      <w:tr>
        <w:trPr>
          <w:tblHeader w:val="true"/>
          <w:cantSplit w:val="true"/>
        </w:trPr>
        <w:tc>
          <w:tcPr>
            <w:tcW w:w="709" w:type="dxa"/>
            <w:tcBorders>
              <w:top w:val="single" w:sz="4" w:space="0" w:color="000000"/>
              <w:left w:val="single" w:sz="4" w:space="0" w:color="000000"/>
              <w:bottom w:val="single" w:sz="4" w:space="0" w:color="000000"/>
            </w:tcBorders>
            <w:shd w:fill="E6E6E6" w:val="clear"/>
          </w:tcPr>
          <w:p>
            <w:pPr>
              <w:pStyle w:val="Tabletext"/>
              <w:spacing w:before="40" w:after="40"/>
              <w:jc w:val="center"/>
              <w:rPr>
                <w:b/>
                <w:b/>
                <w:lang w:eastAsia="en-GB"/>
              </w:rPr>
            </w:pPr>
            <w:r>
              <w:rPr>
                <w:b/>
                <w:lang w:eastAsia="en-GB"/>
              </w:rPr>
              <w:t>Ref.</w:t>
            </w:r>
          </w:p>
        </w:tc>
        <w:tc>
          <w:tcPr>
            <w:tcW w:w="1801" w:type="dxa"/>
            <w:tcBorders>
              <w:top w:val="single" w:sz="4" w:space="0" w:color="000000"/>
              <w:left w:val="single" w:sz="4" w:space="0" w:color="000000"/>
              <w:bottom w:val="single" w:sz="4" w:space="0" w:color="000000"/>
            </w:tcBorders>
            <w:shd w:fill="E6E6E6" w:val="clear"/>
          </w:tcPr>
          <w:p>
            <w:pPr>
              <w:pStyle w:val="Tabletext"/>
              <w:spacing w:before="40" w:after="40"/>
              <w:jc w:val="center"/>
              <w:rPr>
                <w:b/>
                <w:b/>
                <w:sz w:val="18"/>
                <w:lang w:eastAsia="en-GB"/>
              </w:rPr>
            </w:pPr>
            <w:r>
              <w:rPr>
                <w:b/>
                <w:sz w:val="18"/>
                <w:lang w:eastAsia="en-GB"/>
              </w:rPr>
              <w:t>Description</w:t>
            </w:r>
          </w:p>
        </w:tc>
        <w:tc>
          <w:tcPr>
            <w:tcW w:w="5142" w:type="dxa"/>
            <w:tcBorders>
              <w:top w:val="single" w:sz="4" w:space="0" w:color="000000"/>
              <w:left w:val="single" w:sz="4" w:space="0" w:color="000000"/>
              <w:bottom w:val="single" w:sz="4" w:space="0" w:color="000000"/>
            </w:tcBorders>
            <w:shd w:fill="E6E6E6" w:val="clear"/>
          </w:tcPr>
          <w:p>
            <w:pPr>
              <w:pStyle w:val="Tabletext"/>
              <w:spacing w:before="40" w:after="40"/>
              <w:jc w:val="center"/>
              <w:rPr/>
            </w:pPr>
            <w:r>
              <w:rPr>
                <w:b/>
                <w:sz w:val="18"/>
                <w:lang w:eastAsia="en-GB"/>
              </w:rPr>
              <w:t>Specification Required</w:t>
            </w:r>
          </w:p>
        </w:tc>
        <w:tc>
          <w:tcPr>
            <w:tcW w:w="5142" w:type="dxa"/>
            <w:tcBorders>
              <w:top w:val="single" w:sz="4" w:space="0" w:color="000000"/>
              <w:left w:val="single" w:sz="4" w:space="0" w:color="000000"/>
              <w:bottom w:val="single" w:sz="4" w:space="0" w:color="000000"/>
            </w:tcBorders>
            <w:shd w:fill="E6E6E6" w:val="clear"/>
          </w:tcPr>
          <w:p>
            <w:pPr>
              <w:pStyle w:val="Tabletext"/>
              <w:spacing w:before="40" w:after="40"/>
              <w:jc w:val="center"/>
              <w:rPr/>
            </w:pPr>
            <w:r>
              <w:rPr>
                <w:b/>
                <w:sz w:val="18"/>
                <w:lang w:eastAsia="en-GB"/>
              </w:rPr>
              <w:t>Specification Found</w:t>
            </w:r>
          </w:p>
        </w:tc>
        <w:tc>
          <w:tcPr>
            <w:tcW w:w="1024" w:type="dxa"/>
            <w:tcBorders>
              <w:top w:val="single" w:sz="4" w:space="0" w:color="000000"/>
              <w:left w:val="single" w:sz="4" w:space="0" w:color="000000"/>
              <w:bottom w:val="single" w:sz="4" w:space="0" w:color="000000"/>
              <w:right w:val="single" w:sz="4" w:space="0" w:color="000000"/>
            </w:tcBorders>
            <w:shd w:fill="E6E6E6" w:val="clear"/>
          </w:tcPr>
          <w:p>
            <w:pPr>
              <w:pStyle w:val="Tabletext"/>
              <w:spacing w:before="40" w:after="40"/>
              <w:jc w:val="center"/>
              <w:rPr>
                <w:b/>
                <w:b/>
                <w:sz w:val="18"/>
                <w:lang w:eastAsia="en-GB"/>
              </w:rPr>
            </w:pPr>
            <w:r>
              <w:rPr>
                <w:b/>
                <w:sz w:val="18"/>
                <w:lang w:eastAsia="en-GB"/>
              </w:rPr>
              <w:t>Pass\Fail</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b/>
                <w:b/>
                <w:color w:val="000000"/>
                <w:sz w:val="16"/>
                <w:szCs w:val="16"/>
                <w:lang w:eastAsia="en-GB"/>
              </w:rPr>
            </w:pPr>
            <w:r>
              <w:rPr>
                <w:b/>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widowControl/>
              <w:spacing w:lineRule="auto" w:line="240" w:before="0" w:after="0"/>
              <w:rPr>
                <w:rFonts w:cs="Calibri"/>
                <w:color w:val="000000"/>
                <w:sz w:val="18"/>
                <w:szCs w:val="18"/>
                <w:lang w:eastAsia="en-GB"/>
              </w:rPr>
            </w:pPr>
            <w:r>
              <w:rPr>
                <w:rFonts w:cs="Calibri"/>
                <w:color w:val="000000"/>
                <w:sz w:val="18"/>
                <w:szCs w:val="18"/>
              </w:rPr>
              <w:t>nbsbgiqe1jmp</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nt0vm (node 1)</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nt0vm (node 2)</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nt0vm (node 3)</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nt0vm (node 4)</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nt0vm (node 5)</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nt0vm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nt1vm (node 1)</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nt1vm (node 2)</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nt1vm (node 3)</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nt1vm (node 4)</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r>
        <w:trPr>
          <w:cantSplit w:val="true"/>
        </w:trPr>
        <w:tc>
          <w:tcPr>
            <w:tcW w:w="709" w:type="dxa"/>
            <w:tcBorders>
              <w:top w:val="single" w:sz="4" w:space="0" w:color="000000"/>
              <w:left w:val="single" w:sz="4" w:space="0" w:color="000000"/>
              <w:bottom w:val="single" w:sz="4" w:space="0" w:color="000000"/>
            </w:tcBorders>
            <w:shd w:fill="DBE5F1" w:val="clear"/>
          </w:tcPr>
          <w:p>
            <w:pPr>
              <w:pStyle w:val="Tabletext"/>
              <w:numPr>
                <w:ilvl w:val="0"/>
                <w:numId w:val="6"/>
              </w:numPr>
              <w:snapToGrid w:val="false"/>
              <w:spacing w:before="40" w:after="40"/>
              <w:rPr>
                <w:color w:val="000000"/>
                <w:sz w:val="16"/>
                <w:szCs w:val="16"/>
                <w:lang w:eastAsia="en-GB"/>
              </w:rPr>
            </w:pPr>
            <w:r>
              <w:rPr>
                <w:color w:val="000000"/>
                <w:sz w:val="16"/>
                <w:szCs w:val="16"/>
                <w:lang w:eastAsia="en-GB"/>
              </w:rPr>
            </w:r>
          </w:p>
        </w:tc>
        <w:tc>
          <w:tcPr>
            <w:tcW w:w="1801" w:type="dxa"/>
            <w:tcBorders>
              <w:top w:val="single" w:sz="4" w:space="0" w:color="000000"/>
              <w:left w:val="single" w:sz="4" w:space="0" w:color="000000"/>
              <w:bottom w:val="single" w:sz="4" w:space="0" w:color="000000"/>
            </w:tcBorders>
            <w:shd w:fill="DBE5F1" w:val="clear"/>
            <w:tcMar>
              <w:left w:w="85" w:type="dxa"/>
              <w:right w:w="28" w:type="dxa"/>
            </w:tcMar>
          </w:tcPr>
          <w:p>
            <w:pPr>
              <w:pStyle w:val="Normal"/>
              <w:spacing w:before="0" w:after="200"/>
              <w:rPr>
                <w:rFonts w:cs="Calibri"/>
                <w:color w:val="000000"/>
                <w:sz w:val="18"/>
                <w:szCs w:val="18"/>
              </w:rPr>
            </w:pPr>
            <w:r>
              <w:rPr>
                <w:rFonts w:cs="Calibri"/>
                <w:color w:val="000000"/>
                <w:sz w:val="18"/>
                <w:szCs w:val="18"/>
              </w:rPr>
              <w:t>nt1vm (node 5)</w:t>
            </w:r>
          </w:p>
        </w:tc>
        <w:tc>
          <w:tcPr>
            <w:tcW w:w="5142" w:type="dxa"/>
            <w:tcBorders>
              <w:top w:val="single" w:sz="4" w:space="0" w:color="000000"/>
              <w:left w:val="single" w:sz="4" w:space="0" w:color="000000"/>
              <w:bottom w:val="single" w:sz="4" w:space="0" w:color="000000"/>
            </w:tcBorders>
            <w:shd w:fill="DBE5F1"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5142" w:type="dxa"/>
            <w:tcBorders>
              <w:top w:val="single" w:sz="4" w:space="0" w:color="000000"/>
              <w:left w:val="single" w:sz="4" w:space="0" w:color="000000"/>
              <w:bottom w:val="single" w:sz="4" w:space="0" w:color="000000"/>
            </w:tcBorders>
            <w:shd w:fill="EAF1DD" w:val="clear"/>
          </w:tcPr>
          <w:p>
            <w:pPr>
              <w:pStyle w:val="Normal"/>
              <w:spacing w:before="0" w:after="200"/>
              <w:rPr>
                <w:rFonts w:cs="Calibri"/>
                <w:color w:val="000000"/>
                <w:sz w:val="18"/>
                <w:szCs w:val="18"/>
              </w:rPr>
            </w:pPr>
            <w:r>
              <w:rPr>
                <w:rFonts w:cs="Calibri"/>
                <w:color w:val="000000"/>
                <w:sz w:val="18"/>
                <w:szCs w:val="18"/>
              </w:rPr>
              <w:t xml:space="preserve">Type: Virtual Machine </w:t>
              <w:br/>
              <w:t xml:space="preserve">Location: northeurope </w:t>
              <w:br/>
              <w:t xml:space="preserve">ResourceGroup: NBSBgIqe1 </w:t>
              <w:br/>
              <w:t xml:space="preserve">Scaleset: nt1vm </w:t>
              <w:br/>
              <w:t>Standard Software: WindowsServer 2012-R2-Datacenter</w:t>
            </w:r>
          </w:p>
        </w:tc>
        <w:tc>
          <w:tcPr>
            <w:tcW w:w="1024" w:type="dxa"/>
            <w:tcBorders>
              <w:top w:val="single" w:sz="4" w:space="0" w:color="000000"/>
              <w:left w:val="single" w:sz="4" w:space="0" w:color="000000"/>
              <w:bottom w:val="single" w:sz="4" w:space="0" w:color="000000"/>
              <w:right w:val="single" w:sz="4" w:space="0" w:color="000000"/>
            </w:tcBorders>
            <w:shd w:fill="EAF1DD" w:val="clear"/>
          </w:tcPr>
          <w:p>
            <w:pPr>
              <w:pStyle w:val="Tabletext"/>
              <w:keepNext w:val="false"/>
              <w:spacing w:before="40" w:after="40"/>
              <w:rPr>
                <w:color w:val="000000"/>
                <w:sz w:val="18"/>
                <w:lang w:eastAsia="en-GB"/>
              </w:rPr>
            </w:pPr>
            <w:r>
              <w:rPr>
                <w:color w:val="000000"/>
                <w:sz w:val="18"/>
                <w:lang w:eastAsia="en-GB"/>
              </w:rPr>
              <w:t>P</w:t>
            </w:r>
            <w:r>
              <w:rPr>
                <w:rFonts w:cs="Calibri"/>
                <w:color w:val="000000"/>
                <w:sz w:val="18"/>
              </w:rPr>
              <w:t>ass</w:t>
            </w:r>
          </w:p>
        </w:tc>
      </w:tr>
    </w:tbl>
    <w:p>
      <w:pPr>
        <w:pStyle w:val="Caption"/>
        <w:rPr/>
      </w:pPr>
      <w:bookmarkStart w:id="9" w:name="__RefHeading___Toc21099748"/>
      <w:bookmarkEnd w:id="9"/>
      <w:r>
        <w:rPr/>
        <w:t xml:space="preserve">Table </w:t>
      </w:r>
      <w:r>
        <w:rPr/>
        <w:fldChar w:fldCharType="begin"/>
      </w:r>
      <w:r>
        <w:rPr/>
        <w:instrText> SEQ Table \* ARABIC </w:instrText>
      </w:r>
      <w:r>
        <w:rPr/>
        <w:fldChar w:fldCharType="separate"/>
      </w:r>
      <w:r>
        <w:rPr/>
        <w:t>2</w:t>
      </w:r>
      <w:r>
        <w:rPr/>
        <w:fldChar w:fldCharType="end"/>
      </w:r>
      <w:r>
        <w:rPr/>
        <w:t>: Standard Software Specification and Verification</w:t>
      </w:r>
    </w:p>
    <w:p>
      <w:pPr>
        <w:pStyle w:val="Heading2"/>
        <w:rPr/>
      </w:pPr>
      <w:bookmarkStart w:id="10" w:name="__RefHeading___Toc21099743"/>
      <w:bookmarkEnd w:id="10"/>
      <w:r>
        <w:rPr/>
        <w:t>Environment Build Parameters</w:t>
      </w:r>
    </w:p>
    <w:p>
      <w:pPr>
        <w:pStyle w:val="NoSpacing"/>
        <w:widowControl w:val="false"/>
        <w:bidi w:val="0"/>
        <w:jc w:val="left"/>
        <w:rPr/>
      </w:pPr>
      <w:r>
        <w:rPr/>
        <w:t>Note: Passwords and secret keys are masked out in the table below for security and are held by the EMVS Operations Team.</w:t>
      </w:r>
    </w:p>
    <w:p>
      <w:pPr>
        <w:pStyle w:val="NoSpacing"/>
        <w:widowControl w:val="false"/>
        <w:bidi w:val="0"/>
        <w:jc w:val="left"/>
        <w:rPr/>
      </w:pPr>
      <w:r>
        <w:rPr/>
      </w:r>
    </w:p>
    <w:tbl>
      <w:tblPr>
        <w:tblW w:w="4900" w:type="pct"/>
        <w:jc w:val="left"/>
        <w:tblInd w:w="108" w:type="dxa"/>
        <w:tblCellMar>
          <w:top w:w="0" w:type="dxa"/>
          <w:left w:w="108" w:type="dxa"/>
          <w:bottom w:w="0" w:type="dxa"/>
          <w:right w:w="108" w:type="dxa"/>
        </w:tblCellMar>
      </w:tblPr>
      <w:tblGrid>
        <w:gridCol w:w="570"/>
        <w:gridCol w:w="1802"/>
        <w:gridCol w:w="5158"/>
        <w:gridCol w:w="6148"/>
      </w:tblGrid>
      <w:tr>
        <w:trPr>
          <w:tblHeader w:val="true"/>
        </w:trPr>
        <w:tc>
          <w:tcPr>
            <w:tcW w:w="570" w:type="dxa"/>
            <w:tcBorders>
              <w:top w:val="single" w:sz="4" w:space="0" w:color="000000"/>
              <w:left w:val="single" w:sz="4" w:space="0" w:color="000000"/>
              <w:bottom w:val="single" w:sz="4" w:space="0" w:color="000000"/>
            </w:tcBorders>
            <w:shd w:fill="E6E6E6" w:val="clear"/>
          </w:tcPr>
          <w:p>
            <w:pPr>
              <w:pStyle w:val="Tabletext"/>
              <w:spacing w:before="40" w:after="40"/>
              <w:jc w:val="center"/>
              <w:rPr>
                <w:b/>
                <w:b/>
                <w:lang w:eastAsia="en-GB"/>
              </w:rPr>
            </w:pPr>
            <w:r>
              <w:rPr>
                <w:b/>
                <w:lang w:eastAsia="en-GB"/>
              </w:rPr>
              <w:t>Ref.</w:t>
            </w:r>
          </w:p>
        </w:tc>
        <w:tc>
          <w:tcPr>
            <w:tcW w:w="1802" w:type="dxa"/>
            <w:tcBorders>
              <w:top w:val="single" w:sz="4" w:space="0" w:color="000000"/>
              <w:left w:val="single" w:sz="4" w:space="0" w:color="000000"/>
              <w:bottom w:val="single" w:sz="4" w:space="0" w:color="000000"/>
            </w:tcBorders>
            <w:shd w:fill="E6E6E6" w:val="clear"/>
          </w:tcPr>
          <w:p>
            <w:pPr>
              <w:pStyle w:val="Tabletext"/>
              <w:spacing w:before="40" w:after="40"/>
              <w:jc w:val="center"/>
              <w:rPr>
                <w:b/>
                <w:b/>
                <w:lang w:eastAsia="en-GB"/>
              </w:rPr>
            </w:pPr>
            <w:r>
              <w:rPr>
                <w:b/>
                <w:lang w:eastAsia="en-GB"/>
              </w:rPr>
              <w:t>Description</w:t>
            </w:r>
          </w:p>
        </w:tc>
        <w:tc>
          <w:tcPr>
            <w:tcW w:w="5158" w:type="dxa"/>
            <w:tcBorders>
              <w:top w:val="single" w:sz="4" w:space="0" w:color="000000"/>
              <w:left w:val="single" w:sz="4" w:space="0" w:color="000000"/>
              <w:bottom w:val="single" w:sz="4" w:space="0" w:color="000000"/>
            </w:tcBorders>
            <w:shd w:fill="E6E6E6" w:val="clear"/>
          </w:tcPr>
          <w:p>
            <w:pPr>
              <w:pStyle w:val="Tabletext"/>
              <w:spacing w:before="40" w:after="40"/>
              <w:jc w:val="center"/>
              <w:rPr>
                <w:b/>
                <w:b/>
                <w:lang w:eastAsia="en-GB"/>
              </w:rPr>
            </w:pPr>
            <w:r>
              <w:rPr>
                <w:b/>
                <w:lang w:eastAsia="en-GB"/>
              </w:rPr>
              <w:t>Parameter Name</w:t>
            </w:r>
          </w:p>
        </w:tc>
        <w:tc>
          <w:tcPr>
            <w:tcW w:w="6148" w:type="dxa"/>
            <w:tcBorders>
              <w:top w:val="single" w:sz="4" w:space="0" w:color="000000"/>
              <w:left w:val="single" w:sz="4" w:space="0" w:color="000000"/>
              <w:bottom w:val="single" w:sz="4" w:space="0" w:color="000000"/>
              <w:right w:val="single" w:sz="4" w:space="0" w:color="000000"/>
            </w:tcBorders>
            <w:shd w:fill="E6E6E6" w:val="clear"/>
          </w:tcPr>
          <w:p>
            <w:pPr>
              <w:pStyle w:val="Tabletext"/>
              <w:spacing w:before="40" w:after="40"/>
              <w:jc w:val="center"/>
              <w:rPr>
                <w:b/>
                <w:b/>
                <w:lang w:eastAsia="en-GB"/>
              </w:rPr>
            </w:pPr>
            <w:r>
              <w:rPr>
                <w:b/>
                <w:lang w:eastAsia="en-GB"/>
              </w:rPr>
              <w:t>Parameter Value</w:t>
            </w:r>
          </w:p>
        </w:tc>
      </w:tr>
      <w:tr>
        <w:trPr/>
        <w:tc>
          <w:tcPr>
            <w:tcW w:w="570" w:type="dxa"/>
            <w:tcBorders>
              <w:top w:val="single" w:sz="4" w:space="0" w:color="000000"/>
              <w:left w:val="single" w:sz="4" w:space="0" w:color="000000"/>
              <w:bottom w:val="single" w:sz="4" w:space="0" w:color="000000"/>
            </w:tcBorders>
            <w:shd w:fill="DBE5F1" w:val="clear"/>
          </w:tcPr>
          <w:p>
            <w:pPr>
              <w:pStyle w:val="Tabletext"/>
              <w:numPr>
                <w:ilvl w:val="0"/>
                <w:numId w:val="7"/>
              </w:numPr>
              <w:snapToGrid w:val="false"/>
              <w:spacing w:before="40" w:after="40"/>
              <w:rPr>
                <w:b/>
                <w:b/>
                <w:color w:val="000000"/>
                <w:sz w:val="16"/>
                <w:szCs w:val="16"/>
                <w:lang w:eastAsia="en-GB"/>
              </w:rPr>
            </w:pPr>
            <w:r>
              <w:rPr>
                <w:b/>
                <w:color w:val="000000"/>
                <w:sz w:val="16"/>
                <w:szCs w:val="16"/>
                <w:lang w:eastAsia="en-GB"/>
              </w:rPr>
            </w:r>
          </w:p>
        </w:tc>
        <w:tc>
          <w:tcPr>
            <w:tcW w:w="1802" w:type="dxa"/>
            <w:tcBorders>
              <w:top w:val="single" w:sz="4" w:space="0" w:color="000000"/>
              <w:left w:val="single" w:sz="4" w:space="0" w:color="000000"/>
              <w:bottom w:val="single" w:sz="4" w:space="0" w:color="000000"/>
            </w:tcBorders>
            <w:shd w:fill="DBE5F1" w:val="clear"/>
            <w:tcMar>
              <w:left w:w="85" w:type="dxa"/>
              <w:right w:w="28" w:type="dxa"/>
            </w:tcMar>
          </w:tcPr>
          <w:p>
            <w:pPr>
              <w:pStyle w:val="Tabletext"/>
              <w:spacing w:before="40" w:after="40"/>
              <w:ind w:right="-26" w:hanging="0"/>
              <w:jc w:val="center"/>
              <w:rPr>
                <w:color w:val="000000"/>
                <w:sz w:val="16"/>
                <w:szCs w:val="16"/>
                <w:lang w:eastAsia="en-GB"/>
              </w:rPr>
            </w:pPr>
            <w:r>
              <w:rPr>
                <w:color w:val="000000"/>
                <w:sz w:val="16"/>
                <w:szCs w:val="16"/>
                <w:lang w:eastAsia="en-GB"/>
              </w:rPr>
              <w:t>N/A</w:t>
            </w:r>
          </w:p>
        </w:tc>
        <w:tc>
          <w:tcPr>
            <w:tcW w:w="5158" w:type="dxa"/>
            <w:tcBorders>
              <w:top w:val="single" w:sz="4" w:space="0" w:color="000000"/>
              <w:left w:val="single" w:sz="4" w:space="0" w:color="000000"/>
              <w:bottom w:val="single" w:sz="4" w:space="0" w:color="000000"/>
            </w:tcBorders>
            <w:shd w:fill="DBE5F1" w:val="clear"/>
          </w:tcPr>
          <w:p>
            <w:pPr>
              <w:pStyle w:val="Tabletext"/>
              <w:spacing w:before="40" w:after="40"/>
              <w:jc w:val="center"/>
              <w:rPr>
                <w:color w:val="000000"/>
                <w:sz w:val="16"/>
                <w:szCs w:val="16"/>
                <w:lang w:eastAsia="en-GB"/>
              </w:rPr>
            </w:pPr>
            <w:r>
              <w:rPr>
                <w:color w:val="000000"/>
                <w:sz w:val="16"/>
                <w:szCs w:val="16"/>
                <w:lang w:eastAsia="en-GB"/>
              </w:rPr>
              <w:t>N/A</w:t>
            </w:r>
          </w:p>
        </w:tc>
        <w:tc>
          <w:tcPr>
            <w:tcW w:w="6148" w:type="dxa"/>
            <w:tcBorders>
              <w:top w:val="single" w:sz="4" w:space="0" w:color="000000"/>
              <w:left w:val="single" w:sz="4" w:space="0" w:color="000000"/>
              <w:bottom w:val="single" w:sz="4" w:space="0" w:color="000000"/>
              <w:right w:val="single" w:sz="4" w:space="0" w:color="000000"/>
            </w:tcBorders>
            <w:shd w:fill="DBE5F1" w:val="clear"/>
          </w:tcPr>
          <w:p>
            <w:pPr>
              <w:pStyle w:val="Tabletext"/>
              <w:spacing w:before="40" w:after="40"/>
              <w:jc w:val="center"/>
              <w:rPr>
                <w:color w:val="000000"/>
                <w:sz w:val="16"/>
                <w:szCs w:val="16"/>
                <w:lang w:eastAsia="en-GB"/>
              </w:rPr>
            </w:pPr>
            <w:r>
              <w:rPr>
                <w:color w:val="000000"/>
                <w:sz w:val="16"/>
                <w:szCs w:val="16"/>
                <w:lang w:eastAsia="en-GB"/>
              </w:rPr>
              <w:t>N/A</w:t>
            </w:r>
          </w:p>
        </w:tc>
      </w:tr>
    </w:tbl>
    <w:p>
      <w:pPr>
        <w:pStyle w:val="Caption"/>
        <w:rPr/>
      </w:pPr>
      <w:bookmarkStart w:id="11" w:name="__RefHeading___Toc21099749"/>
      <w:bookmarkEnd w:id="11"/>
      <w:r>
        <w:rPr/>
        <w:t xml:space="preserve">Table </w:t>
      </w:r>
      <w:r>
        <w:rPr/>
        <w:fldChar w:fldCharType="begin"/>
      </w:r>
      <w:r>
        <w:rPr/>
        <w:instrText> SEQ Table \* ARABIC </w:instrText>
      </w:r>
      <w:r>
        <w:rPr/>
        <w:fldChar w:fldCharType="separate"/>
      </w:r>
      <w:r>
        <w:rPr/>
        <w:t>3</w:t>
      </w:r>
      <w:r>
        <w:rPr/>
        <w:fldChar w:fldCharType="end"/>
      </w:r>
      <w:r>
        <w:rPr/>
        <w:t>: Environment Build Parameters</w:t>
      </w:r>
    </w:p>
    <w:p>
      <w:pPr>
        <w:pStyle w:val="Heading2"/>
        <w:rPr/>
      </w:pPr>
      <w:bookmarkStart w:id="12" w:name="__RefHeading___Toc21099744"/>
      <w:bookmarkEnd w:id="12"/>
      <w:r>
        <w:rPr/>
        <w:t>Version Control</w:t>
      </w:r>
    </w:p>
    <w:p>
      <w:pPr>
        <w:pStyle w:val="Normal"/>
        <w:rPr/>
      </w:pPr>
      <w:r>
        <w:rPr>
          <w:color w:val="000000"/>
        </w:rPr>
        <w:t>The standard software components listed in table 2 are held in the Solidsoft Reply Definitive Media Library (DML) if the component is supplied by the vendor on physical media. Software components supplied in electronic format (as part of a Microsoft Azure subscription for example) are held by the vendor. Specification information is retrieved programmatically via the script name and version indicated below. Scripts are version controlled within the TFS (Git) repository. Version information is specified as a Git revision number (SHA1 hash</w:t>
      </w:r>
      <w:r>
        <w:rPr/>
        <w:t>). The Git Revision Number uniquely versions and identifies all scripts and files referenced within TFS (Git), and differentiate them from all other versions.</w:t>
      </w:r>
    </w:p>
    <w:tbl>
      <w:tblPr>
        <w:tblW w:w="4950" w:type="pct"/>
        <w:jc w:val="left"/>
        <w:tblInd w:w="28" w:type="dxa"/>
        <w:tblCellMar>
          <w:top w:w="0" w:type="dxa"/>
          <w:left w:w="28" w:type="dxa"/>
          <w:bottom w:w="0" w:type="dxa"/>
          <w:right w:w="28" w:type="dxa"/>
        </w:tblCellMar>
      </w:tblPr>
      <w:tblGrid>
        <w:gridCol w:w="3101"/>
        <w:gridCol w:w="3803"/>
        <w:gridCol w:w="6914"/>
      </w:tblGrid>
      <w:tr>
        <w:trPr>
          <w:tblHeader w:val="true"/>
          <w:trHeight w:val="403" w:hRule="atLeast"/>
          <w:cantSplit w:val="true"/>
        </w:trPr>
        <w:tc>
          <w:tcPr>
            <w:tcW w:w="3101" w:type="dxa"/>
            <w:tcBorders>
              <w:top w:val="single" w:sz="4" w:space="0" w:color="000000"/>
              <w:left w:val="single" w:sz="4" w:space="0" w:color="000000"/>
              <w:bottom w:val="single" w:sz="4" w:space="0" w:color="000000"/>
            </w:tcBorders>
            <w:shd w:fill="E6E6E6" w:val="clear"/>
            <w:vAlign w:val="center"/>
          </w:tcPr>
          <w:p>
            <w:pPr>
              <w:pStyle w:val="Normal"/>
              <w:spacing w:lineRule="auto" w:line="240" w:before="0" w:after="0"/>
              <w:jc w:val="center"/>
              <w:rPr>
                <w:b/>
                <w:b/>
                <w:szCs w:val="22"/>
                <w:lang w:eastAsia="en-GB"/>
              </w:rPr>
            </w:pPr>
            <w:r>
              <w:rPr>
                <w:b/>
                <w:szCs w:val="22"/>
                <w:lang w:eastAsia="en-GB"/>
              </w:rPr>
              <w:t>Script Name</w:t>
            </w:r>
          </w:p>
        </w:tc>
        <w:tc>
          <w:tcPr>
            <w:tcW w:w="3803" w:type="dxa"/>
            <w:tcBorders>
              <w:top w:val="single" w:sz="4" w:space="0" w:color="000000"/>
              <w:left w:val="single" w:sz="4" w:space="0" w:color="000000"/>
              <w:bottom w:val="single" w:sz="4" w:space="0" w:color="000000"/>
            </w:tcBorders>
            <w:shd w:fill="E6E6E6" w:val="clear"/>
            <w:tcMar>
              <w:left w:w="108" w:type="dxa"/>
              <w:right w:w="108" w:type="dxa"/>
            </w:tcMar>
            <w:vAlign w:val="center"/>
          </w:tcPr>
          <w:p>
            <w:pPr>
              <w:pStyle w:val="Normal"/>
              <w:spacing w:lineRule="auto" w:line="240" w:before="0" w:after="0"/>
              <w:jc w:val="center"/>
              <w:rPr>
                <w:b/>
                <w:b/>
                <w:szCs w:val="22"/>
                <w:lang w:eastAsia="en-GB"/>
              </w:rPr>
            </w:pPr>
            <w:r>
              <w:rPr>
                <w:b/>
                <w:szCs w:val="22"/>
                <w:lang w:eastAsia="en-GB"/>
              </w:rPr>
              <w:t>Script Revision</w:t>
            </w:r>
          </w:p>
        </w:tc>
        <w:tc>
          <w:tcPr>
            <w:tcW w:w="6914" w:type="dxa"/>
            <w:tcBorders>
              <w:top w:val="single" w:sz="4" w:space="0" w:color="000000"/>
              <w:left w:val="single" w:sz="4" w:space="0" w:color="000000"/>
              <w:bottom w:val="single" w:sz="4" w:space="0" w:color="000000"/>
              <w:right w:val="single" w:sz="4" w:space="0" w:color="000000"/>
            </w:tcBorders>
            <w:shd w:fill="E6E6E6" w:val="clear"/>
            <w:tcMar>
              <w:left w:w="108" w:type="dxa"/>
              <w:right w:w="108" w:type="dxa"/>
            </w:tcMar>
            <w:vAlign w:val="center"/>
          </w:tcPr>
          <w:p>
            <w:pPr>
              <w:pStyle w:val="Normal"/>
              <w:spacing w:lineRule="auto" w:line="240" w:before="0" w:after="0"/>
              <w:jc w:val="center"/>
              <w:rPr>
                <w:b/>
                <w:b/>
                <w:szCs w:val="22"/>
                <w:lang w:eastAsia="en-GB"/>
              </w:rPr>
            </w:pPr>
            <w:r>
              <w:rPr>
                <w:b/>
                <w:szCs w:val="22"/>
                <w:lang w:eastAsia="en-GB"/>
              </w:rPr>
              <w:t>Script Location</w:t>
            </w:r>
          </w:p>
        </w:tc>
      </w:tr>
      <w:tr>
        <w:trPr/>
        <w:tc>
          <w:tcPr>
            <w:tcW w:w="3101" w:type="dxa"/>
            <w:tcBorders>
              <w:top w:val="single" w:sz="4" w:space="0" w:color="000000"/>
              <w:left w:val="single" w:sz="4" w:space="0" w:color="000000"/>
              <w:bottom w:val="single" w:sz="4" w:space="0" w:color="000000"/>
            </w:tcBorders>
            <w:shd w:fill="DBE5F1" w:val="clear"/>
            <w:tcMar>
              <w:left w:w="108" w:type="dxa"/>
              <w:right w:w="108" w:type="dxa"/>
            </w:tcMar>
          </w:tcPr>
          <w:p>
            <w:pPr>
              <w:pStyle w:val="Tabletext"/>
              <w:spacing w:lineRule="auto" w:line="240" w:before="40" w:after="40"/>
              <w:ind w:right="-26" w:hanging="0"/>
              <w:jc w:val="center"/>
              <w:rPr>
                <w:color w:val="000000"/>
                <w:sz w:val="16"/>
                <w:szCs w:val="16"/>
                <w:lang w:eastAsia="en-GB"/>
              </w:rPr>
            </w:pPr>
            <w:r>
              <w:rPr>
                <w:color w:val="000000"/>
                <w:sz w:val="16"/>
                <w:szCs w:val="16"/>
                <w:lang w:eastAsia="en-GB"/>
              </w:rPr>
              <w:t>Get-HardwareValidationRecord.ps1</w:t>
            </w:r>
          </w:p>
        </w:tc>
        <w:tc>
          <w:tcPr>
            <w:tcW w:w="3803" w:type="dxa"/>
            <w:tcBorders>
              <w:top w:val="single" w:sz="4" w:space="0" w:color="000000"/>
              <w:left w:val="single" w:sz="4" w:space="0" w:color="000000"/>
              <w:bottom w:val="single" w:sz="4" w:space="0" w:color="000000"/>
            </w:tcBorders>
            <w:shd w:fill="DBE5F1" w:val="clear"/>
            <w:tcMar>
              <w:left w:w="108" w:type="dxa"/>
              <w:right w:w="108" w:type="dxa"/>
            </w:tcMar>
          </w:tcPr>
          <w:p>
            <w:pPr>
              <w:pStyle w:val="Tabletext"/>
              <w:spacing w:lineRule="auto" w:line="240" w:before="40" w:after="40"/>
              <w:ind w:right="-26" w:hanging="0"/>
              <w:jc w:val="center"/>
              <w:rPr>
                <w:color w:val="000000"/>
                <w:sz w:val="16"/>
                <w:szCs w:val="16"/>
                <w:lang w:eastAsia="en-GB"/>
              </w:rPr>
            </w:pPr>
            <w:r>
              <w:rPr>
                <w:color w:val="000000"/>
                <w:sz w:val="16"/>
                <w:szCs w:val="16"/>
                <w:lang w:eastAsia="en-GB"/>
              </w:rPr>
              <w:t>187a48b50996d94e54ab38be0141a864bcfa2a95</w:t>
            </w:r>
          </w:p>
          <w:p>
            <w:pPr>
              <w:pStyle w:val="Tabletext"/>
              <w:spacing w:lineRule="auto" w:line="240" w:before="40" w:after="40"/>
              <w:ind w:right="-26" w:hanging="0"/>
              <w:jc w:val="center"/>
              <w:rPr>
                <w:color w:val="000000"/>
                <w:sz w:val="16"/>
                <w:szCs w:val="16"/>
                <w:lang w:eastAsia="en-GB"/>
              </w:rPr>
            </w:pPr>
            <w:r>
              <w:rPr>
                <w:color w:val="000000"/>
                <w:sz w:val="16"/>
                <w:szCs w:val="16"/>
                <w:lang w:eastAsia="en-GB"/>
              </w:rPr>
            </w:r>
          </w:p>
        </w:tc>
        <w:tc>
          <w:tcPr>
            <w:tcW w:w="6914" w:type="dxa"/>
            <w:tcBorders>
              <w:top w:val="single" w:sz="4" w:space="0" w:color="000000"/>
              <w:left w:val="single" w:sz="4" w:space="0" w:color="000000"/>
              <w:bottom w:val="single" w:sz="4" w:space="0" w:color="000000"/>
              <w:right w:val="single" w:sz="4" w:space="0" w:color="000000"/>
            </w:tcBorders>
            <w:shd w:fill="DBE5F1" w:val="clear"/>
            <w:tcMar>
              <w:left w:w="108" w:type="dxa"/>
              <w:right w:w="108" w:type="dxa"/>
            </w:tcMar>
          </w:tcPr>
          <w:p>
            <w:pPr>
              <w:pStyle w:val="Tabletext"/>
              <w:spacing w:lineRule="auto" w:line="240" w:before="40" w:after="40"/>
              <w:ind w:right="-26" w:hanging="0"/>
              <w:jc w:val="center"/>
              <w:rPr/>
            </w:pPr>
            <w:r>
              <w:rPr>
                <w:color w:val="000000"/>
                <w:sz w:val="16"/>
                <w:szCs w:val="16"/>
                <w:lang w:eastAsia="en-GB"/>
              </w:rPr>
              <w:t>/v6.2/National Blueprint System/Solidsoft.Emvs.Nbs/Solidsoft.Emvs.Nbs.Deployment/DeployScripts/</w:t>
            </w:r>
          </w:p>
        </w:tc>
      </w:tr>
      <w:tr>
        <w:trPr/>
        <w:tc>
          <w:tcPr>
            <w:tcW w:w="3101" w:type="dxa"/>
            <w:tcBorders>
              <w:top w:val="single" w:sz="4" w:space="0" w:color="000000"/>
              <w:left w:val="single" w:sz="4" w:space="0" w:color="000000"/>
              <w:bottom w:val="single" w:sz="4" w:space="0" w:color="000000"/>
            </w:tcBorders>
            <w:shd w:fill="DBE5F1" w:val="clear"/>
            <w:tcMar>
              <w:left w:w="108" w:type="dxa"/>
              <w:right w:w="108" w:type="dxa"/>
            </w:tcMar>
          </w:tcPr>
          <w:p>
            <w:pPr>
              <w:pStyle w:val="Tabletext"/>
              <w:spacing w:lineRule="auto" w:line="240" w:before="40" w:after="40"/>
              <w:ind w:right="-26" w:hanging="0"/>
              <w:jc w:val="center"/>
              <w:rPr>
                <w:color w:val="000000"/>
                <w:sz w:val="16"/>
                <w:szCs w:val="16"/>
                <w:lang w:eastAsia="en-GB"/>
              </w:rPr>
            </w:pPr>
            <w:r>
              <w:rPr>
                <w:color w:val="000000"/>
                <w:sz w:val="16"/>
                <w:szCs w:val="16"/>
                <w:lang w:eastAsia="en-GB"/>
              </w:rPr>
              <w:t>Get-StandardSoftwareValidationRecord.ps1</w:t>
            </w:r>
          </w:p>
        </w:tc>
        <w:tc>
          <w:tcPr>
            <w:tcW w:w="3803" w:type="dxa"/>
            <w:tcBorders>
              <w:top w:val="single" w:sz="4" w:space="0" w:color="000000"/>
              <w:left w:val="single" w:sz="4" w:space="0" w:color="000000"/>
              <w:bottom w:val="single" w:sz="4" w:space="0" w:color="000000"/>
            </w:tcBorders>
            <w:shd w:fill="DBE5F1" w:val="clear"/>
            <w:tcMar>
              <w:left w:w="108" w:type="dxa"/>
              <w:right w:w="108" w:type="dxa"/>
            </w:tcMar>
          </w:tcPr>
          <w:p>
            <w:pPr>
              <w:pStyle w:val="Tabletext"/>
              <w:spacing w:lineRule="auto" w:line="240" w:before="40" w:after="40"/>
              <w:ind w:right="-26" w:hanging="0"/>
              <w:jc w:val="center"/>
              <w:rPr>
                <w:color w:val="000000"/>
                <w:sz w:val="16"/>
                <w:szCs w:val="16"/>
                <w:lang w:eastAsia="en-GB"/>
              </w:rPr>
            </w:pPr>
            <w:r>
              <w:rPr>
                <w:color w:val="000000"/>
                <w:sz w:val="16"/>
                <w:szCs w:val="16"/>
                <w:lang w:eastAsia="en-GB"/>
              </w:rPr>
              <w:t>187a48b50996d94e54ab38be0141a864bcfa2a95</w:t>
            </w:r>
          </w:p>
          <w:p>
            <w:pPr>
              <w:pStyle w:val="Tabletext"/>
              <w:spacing w:lineRule="auto" w:line="240" w:before="40" w:after="40"/>
              <w:ind w:right="-26" w:hanging="0"/>
              <w:jc w:val="center"/>
              <w:rPr>
                <w:color w:val="000000"/>
                <w:sz w:val="16"/>
                <w:szCs w:val="16"/>
                <w:lang w:eastAsia="en-GB"/>
              </w:rPr>
            </w:pPr>
            <w:r>
              <w:rPr>
                <w:color w:val="000000"/>
                <w:sz w:val="16"/>
                <w:szCs w:val="16"/>
                <w:lang w:eastAsia="en-GB"/>
              </w:rPr>
            </w:r>
          </w:p>
        </w:tc>
        <w:tc>
          <w:tcPr>
            <w:tcW w:w="6914" w:type="dxa"/>
            <w:tcBorders>
              <w:top w:val="single" w:sz="4" w:space="0" w:color="000000"/>
              <w:left w:val="single" w:sz="4" w:space="0" w:color="000000"/>
              <w:bottom w:val="single" w:sz="4" w:space="0" w:color="000000"/>
              <w:right w:val="single" w:sz="4" w:space="0" w:color="000000"/>
            </w:tcBorders>
            <w:shd w:fill="DBE5F1" w:val="clear"/>
            <w:tcMar>
              <w:left w:w="108" w:type="dxa"/>
              <w:right w:w="108" w:type="dxa"/>
            </w:tcMar>
          </w:tcPr>
          <w:p>
            <w:pPr>
              <w:pStyle w:val="Tabletext"/>
              <w:spacing w:lineRule="auto" w:line="240" w:before="40" w:after="40"/>
              <w:ind w:right="-26" w:hanging="0"/>
              <w:jc w:val="center"/>
              <w:rPr/>
            </w:pPr>
            <w:r>
              <w:rPr>
                <w:color w:val="000000"/>
                <w:sz w:val="16"/>
                <w:szCs w:val="16"/>
                <w:lang w:eastAsia="en-GB"/>
              </w:rPr>
              <w:t>/v6.2/National Blueprint System/Solidsoft.Emvs.Nbs/Solidsoft.Emvs.Nbs.Deployment/DeployScripts/</w:t>
            </w:r>
          </w:p>
        </w:tc>
      </w:tr>
    </w:tbl>
    <w:p>
      <w:pPr>
        <w:pStyle w:val="Caption"/>
        <w:rPr>
          <w:b w:val="false"/>
          <w:b w:val="false"/>
          <w:sz w:val="28"/>
        </w:rPr>
      </w:pPr>
      <w:bookmarkStart w:id="13" w:name="__RefHeading___Toc21099750"/>
      <w:bookmarkEnd w:id="13"/>
      <w:r>
        <w:rPr/>
        <w:t xml:space="preserve">Table </w:t>
      </w:r>
      <w:r>
        <w:rPr/>
        <w:fldChar w:fldCharType="begin"/>
      </w:r>
      <w:r>
        <w:rPr/>
        <w:instrText> SEQ Table \* ARABIC </w:instrText>
      </w:r>
      <w:r>
        <w:rPr/>
        <w:fldChar w:fldCharType="separate"/>
      </w:r>
      <w:r>
        <w:rPr/>
        <w:t>4</w:t>
      </w:r>
      <w:r>
        <w:rPr/>
        <w:fldChar w:fldCharType="end"/>
      </w:r>
      <w:r>
        <w:rPr/>
        <w:t>: Data Retrieval Programs</w:t>
      </w:r>
      <w:r>
        <w:br w:type="page"/>
      </w:r>
    </w:p>
    <w:p>
      <w:pPr>
        <w:pStyle w:val="Heading1"/>
        <w:rPr/>
      </w:pPr>
      <w:bookmarkStart w:id="14" w:name="__RefHeading___Toc21099745"/>
      <w:bookmarkEnd w:id="14"/>
      <w:r>
        <w:rPr/>
        <w:t>Approver Statements</w:t>
      </w:r>
    </w:p>
    <w:tbl>
      <w:tblPr>
        <w:tblW w:w="14175" w:type="dxa"/>
        <w:jc w:val="left"/>
        <w:tblInd w:w="0" w:type="dxa"/>
        <w:tblCellMar>
          <w:top w:w="0" w:type="dxa"/>
          <w:left w:w="108" w:type="dxa"/>
          <w:bottom w:w="0" w:type="dxa"/>
          <w:right w:w="108" w:type="dxa"/>
        </w:tblCellMar>
      </w:tblPr>
      <w:tblGrid>
        <w:gridCol w:w="14175"/>
      </w:tblGrid>
      <w:tr>
        <w:trPr/>
        <w:tc>
          <w:tcPr>
            <w:tcW w:w="14175" w:type="dxa"/>
            <w:tcBorders/>
            <w:shd w:fill="F2F2F2" w:val="clear"/>
          </w:tcPr>
          <w:p>
            <w:pPr>
              <w:pStyle w:val="Tabletext"/>
              <w:spacing w:before="40" w:after="40"/>
              <w:rPr>
                <w:b/>
                <w:b/>
                <w:i/>
                <w:i/>
                <w:lang w:eastAsia="en-GB"/>
              </w:rPr>
            </w:pPr>
            <w:r>
              <w:rPr>
                <w:b/>
                <w:i/>
                <w:lang w:eastAsia="en-GB"/>
              </w:rPr>
              <w:t>[To be completed by specification author]</w:t>
            </w:r>
          </w:p>
          <w:p>
            <w:pPr>
              <w:pStyle w:val="Tabletext"/>
              <w:rPr/>
            </w:pPr>
            <w:r>
              <w:rPr>
                <w:lang w:eastAsia="en-GB"/>
              </w:rPr>
              <w:t xml:space="preserve">This record specifies the hardware and standard software components required for the </w:t>
            </w:r>
            <w:r>
              <w:rPr>
                <w:color w:val="000000"/>
                <w:lang w:eastAsia="en-GB"/>
              </w:rPr>
              <w:t xml:space="preserve">Production (PRD-IQE) - Bulgaria </w:t>
            </w:r>
            <w:r>
              <w:rPr>
                <w:lang w:eastAsia="en-GB"/>
              </w:rPr>
              <w:t>environment.</w:t>
            </w:r>
          </w:p>
          <w:p>
            <w:pPr>
              <w:pStyle w:val="Tabletext"/>
              <w:rPr/>
            </w:pPr>
            <w:r>
              <w:rPr>
                <w:b/>
                <w:lang w:eastAsia="en-GB"/>
              </w:rPr>
              <w:t>Approver statement:</w:t>
            </w:r>
            <w:r>
              <w:rPr>
                <w:lang w:eastAsia="en-GB"/>
              </w:rPr>
              <w:t xml:space="preserve"> By signing this record, I hereby confirm that the hardware and standard software </w:t>
            </w:r>
            <w:r>
              <w:rPr>
                <w:color w:val="000000"/>
                <w:lang w:eastAsia="en-GB"/>
              </w:rPr>
              <w:t xml:space="preserve">components </w:t>
            </w:r>
            <w:r>
              <w:rPr>
                <w:lang w:eastAsia="en-GB"/>
              </w:rPr>
              <w:t xml:space="preserve">as described above are correct. </w:t>
            </w:r>
          </w:p>
          <w:p>
            <w:pPr>
              <w:pStyle w:val="Tabletext"/>
              <w:rPr>
                <w:b/>
                <w:b/>
                <w:lang w:eastAsia="en-GB"/>
              </w:rPr>
            </w:pPr>
            <w:r>
              <w:rPr>
                <w:b/>
                <w:lang w:eastAsia="en-GB"/>
              </w:rPr>
            </w:r>
          </w:p>
          <w:p>
            <w:pPr>
              <w:pStyle w:val="Tabletext"/>
              <w:rPr>
                <w:b/>
                <w:b/>
                <w:lang w:eastAsia="en-GB"/>
              </w:rPr>
            </w:pPr>
            <w:r>
              <w:rPr>
                <w:b/>
                <w:lang w:eastAsia="en-GB"/>
              </w:rPr>
            </w:r>
          </w:p>
          <w:p>
            <w:pPr>
              <w:pStyle w:val="Tabletext"/>
              <w:rPr>
                <w:lang w:eastAsia="en-GB"/>
              </w:rPr>
            </w:pPr>
            <w:r>
              <w:rPr>
                <w:b/>
                <w:lang w:eastAsia="en-GB"/>
              </w:rPr>
              <w:t>Approver Wet Ink Signature:</w:t>
            </w:r>
            <w:r>
              <w:rPr>
                <w:lang w:eastAsia="en-GB"/>
              </w:rPr>
              <w:t xml:space="preserve">  _________________________ .     </w:t>
            </w:r>
          </w:p>
          <w:p>
            <w:pPr>
              <w:pStyle w:val="Tabletext"/>
              <w:keepNext w:val="false"/>
              <w:spacing w:before="40" w:after="40"/>
              <w:rPr>
                <w:color w:val="4F6228"/>
                <w:lang w:eastAsia="en-GB"/>
              </w:rPr>
            </w:pPr>
            <w:r>
              <w:rPr>
                <w:b/>
                <w:lang w:eastAsia="en-GB"/>
              </w:rPr>
              <w:t>Approver Name (record author):</w:t>
            </w:r>
            <w:r>
              <w:rPr>
                <w:color w:val="336600"/>
                <w:lang w:eastAsia="en-GB"/>
              </w:rPr>
              <w:t xml:space="preserve"> </w:t>
            </w:r>
            <w:r>
              <w:rPr>
                <w:color w:val="000000"/>
                <w:lang w:eastAsia="en-GB"/>
              </w:rPr>
              <w:t xml:space="preserve">Roberto Baccocchi </w:t>
            </w:r>
          </w:p>
        </w:tc>
      </w:tr>
    </w:tbl>
    <w:p>
      <w:pPr>
        <w:pStyle w:val="NoSpacing"/>
        <w:bidi w:val="0"/>
        <w:jc w:val="left"/>
        <w:rPr>
          <w:lang w:eastAsia="en-GB"/>
        </w:rPr>
      </w:pPr>
      <w:r>
        <w:rPr>
          <w:lang w:eastAsia="en-GB"/>
        </w:rPr>
      </w:r>
    </w:p>
    <w:tbl>
      <w:tblPr>
        <w:tblW w:w="14175" w:type="dxa"/>
        <w:jc w:val="left"/>
        <w:tblInd w:w="0" w:type="dxa"/>
        <w:tblCellMar>
          <w:top w:w="0" w:type="dxa"/>
          <w:left w:w="108" w:type="dxa"/>
          <w:bottom w:w="0" w:type="dxa"/>
          <w:right w:w="108" w:type="dxa"/>
        </w:tblCellMar>
      </w:tblPr>
      <w:tblGrid>
        <w:gridCol w:w="14175"/>
      </w:tblGrid>
      <w:tr>
        <w:trPr/>
        <w:tc>
          <w:tcPr>
            <w:tcW w:w="14175" w:type="dxa"/>
            <w:tcBorders/>
            <w:shd w:fill="F2F2F2" w:val="clear"/>
          </w:tcPr>
          <w:p>
            <w:pPr>
              <w:pStyle w:val="Tabletext"/>
              <w:spacing w:before="40" w:after="40"/>
              <w:rPr>
                <w:b/>
                <w:b/>
                <w:i/>
                <w:i/>
                <w:lang w:eastAsia="en-GB"/>
              </w:rPr>
            </w:pPr>
            <w:r>
              <w:rPr>
                <w:b/>
                <w:i/>
                <w:lang w:eastAsia="en-GB"/>
              </w:rPr>
              <w:t>[To be completed by verification author]</w:t>
            </w:r>
          </w:p>
          <w:p>
            <w:pPr>
              <w:pStyle w:val="Tabletext"/>
              <w:ind w:right="-75" w:hanging="0"/>
              <w:rPr/>
            </w:pPr>
            <w:r>
              <w:rPr>
                <w:lang w:eastAsia="en-GB"/>
              </w:rPr>
              <w:t xml:space="preserve">This record provides evidence that hardware and standard software components for the </w:t>
            </w:r>
            <w:r>
              <w:rPr>
                <w:color w:val="000000"/>
                <w:lang w:eastAsia="en-GB"/>
              </w:rPr>
              <w:t xml:space="preserve">Production (PRD-IQE) - Bulgaria </w:t>
            </w:r>
            <w:r>
              <w:rPr>
                <w:lang w:eastAsia="en-GB"/>
              </w:rPr>
              <w:t xml:space="preserve">environment have been successfully installed and configured. </w:t>
            </w:r>
          </w:p>
          <w:p>
            <w:pPr>
              <w:pStyle w:val="Tabletext"/>
              <w:rPr/>
            </w:pPr>
            <w:r>
              <w:rPr>
                <w:b/>
                <w:lang w:eastAsia="en-GB"/>
              </w:rPr>
              <w:t>Approver statement:</w:t>
            </w:r>
            <w:r>
              <w:rPr>
                <w:lang w:eastAsia="en-GB"/>
              </w:rPr>
              <w:t xml:space="preserve"> By signing this record, I hereby confirm that the verification as described above has been successfully completed. </w:t>
            </w:r>
          </w:p>
          <w:p>
            <w:pPr>
              <w:pStyle w:val="Tabletext"/>
              <w:rPr>
                <w:b/>
                <w:b/>
                <w:lang w:eastAsia="en-GB"/>
              </w:rPr>
            </w:pPr>
            <w:r>
              <w:rPr>
                <w:b/>
                <w:lang w:eastAsia="en-GB"/>
              </w:rPr>
            </w:r>
          </w:p>
          <w:p>
            <w:pPr>
              <w:pStyle w:val="Tabletext"/>
              <w:rPr>
                <w:b/>
                <w:b/>
                <w:lang w:eastAsia="en-GB"/>
              </w:rPr>
            </w:pPr>
            <w:r>
              <w:rPr>
                <w:b/>
                <w:lang w:eastAsia="en-GB"/>
              </w:rPr>
            </w:r>
          </w:p>
          <w:p>
            <w:pPr>
              <w:pStyle w:val="Tabletext"/>
              <w:rPr/>
            </w:pPr>
            <w:r>
              <w:rPr>
                <w:b/>
                <w:lang w:eastAsia="en-GB"/>
              </w:rPr>
              <w:t>Approver Wet Ink Signature:</w:t>
            </w:r>
            <w:r>
              <w:rPr>
                <w:lang w:eastAsia="en-GB"/>
              </w:rPr>
              <w:t xml:space="preserve">  _________________________ .</w:t>
            </w:r>
          </w:p>
          <w:p>
            <w:pPr>
              <w:pStyle w:val="Tabletext"/>
              <w:keepNext w:val="false"/>
              <w:spacing w:before="40" w:after="40"/>
              <w:rPr>
                <w:b/>
                <w:b/>
                <w:i/>
                <w:i/>
                <w:lang w:eastAsia="en-GB"/>
              </w:rPr>
            </w:pPr>
            <w:r>
              <w:rPr>
                <w:b/>
                <w:lang w:eastAsia="en-GB"/>
              </w:rPr>
              <w:t>Approver Name (record author):</w:t>
            </w:r>
            <w:r>
              <w:rPr>
                <w:lang w:eastAsia="en-GB"/>
              </w:rPr>
              <w:t xml:space="preserve"> </w:t>
            </w:r>
            <w:r>
              <w:rPr>
                <w:color w:val="000000"/>
                <w:lang w:eastAsia="en-GB"/>
              </w:rPr>
              <w:t>Roberto Baccocchi</w:t>
            </w:r>
          </w:p>
        </w:tc>
      </w:tr>
    </w:tbl>
    <w:p>
      <w:pPr>
        <w:pStyle w:val="NoSpacing"/>
        <w:widowControl w:val="false"/>
        <w:bidi w:val="0"/>
        <w:jc w:val="left"/>
        <w:rPr/>
      </w:pPr>
      <w:r>
        <w:rPr/>
      </w:r>
    </w:p>
    <w:tbl>
      <w:tblPr>
        <w:tblW w:w="14175" w:type="dxa"/>
        <w:jc w:val="left"/>
        <w:tblInd w:w="0" w:type="dxa"/>
        <w:tblCellMar>
          <w:top w:w="0" w:type="dxa"/>
          <w:left w:w="108" w:type="dxa"/>
          <w:bottom w:w="0" w:type="dxa"/>
          <w:right w:w="108" w:type="dxa"/>
        </w:tblCellMar>
      </w:tblPr>
      <w:tblGrid>
        <w:gridCol w:w="14175"/>
      </w:tblGrid>
      <w:tr>
        <w:trPr/>
        <w:tc>
          <w:tcPr>
            <w:tcW w:w="14175" w:type="dxa"/>
            <w:tcBorders/>
            <w:shd w:fill="F2F2F2" w:val="clear"/>
          </w:tcPr>
          <w:p>
            <w:pPr>
              <w:pStyle w:val="Tabletext"/>
              <w:spacing w:before="40" w:after="40"/>
              <w:rPr>
                <w:b/>
                <w:b/>
                <w:i/>
                <w:i/>
                <w:lang w:eastAsia="en-GB"/>
              </w:rPr>
            </w:pPr>
            <w:r>
              <w:rPr>
                <w:rFonts w:eastAsia="Calibri"/>
                <w:b/>
                <w:i/>
                <w:lang w:eastAsia="en-GB"/>
              </w:rPr>
              <w:t xml:space="preserve"> </w:t>
            </w:r>
            <w:r>
              <w:rPr>
                <w:b/>
                <w:i/>
                <w:lang w:eastAsia="en-GB"/>
              </w:rPr>
              <w:t>[To be completed by Quality Manager]</w:t>
            </w:r>
          </w:p>
          <w:p>
            <w:pPr>
              <w:pStyle w:val="Tabletext"/>
              <w:rPr>
                <w:b/>
                <w:b/>
                <w:i/>
                <w:i/>
                <w:sz w:val="28"/>
                <w:szCs w:val="28"/>
                <w:lang w:eastAsia="en-GB"/>
              </w:rPr>
            </w:pPr>
            <w:r>
              <w:rPr>
                <w:b/>
                <w:i/>
                <w:sz w:val="28"/>
                <w:szCs w:val="28"/>
                <w:lang w:eastAsia="en-GB"/>
              </w:rPr>
            </w:r>
          </w:p>
          <w:p>
            <w:pPr>
              <w:pStyle w:val="Tabletext"/>
              <w:rPr/>
            </w:pPr>
            <w:r>
              <w:rPr>
                <w:b/>
                <w:lang w:eastAsia="en-GB"/>
              </w:rPr>
              <w:t>Quality Manager Wet Ink Signature:</w:t>
            </w:r>
            <w:r>
              <w:rPr>
                <w:lang w:eastAsia="en-GB"/>
              </w:rPr>
              <w:t xml:space="preserve">  _________________________ .</w:t>
            </w:r>
          </w:p>
          <w:p>
            <w:pPr>
              <w:pStyle w:val="Tabletext"/>
              <w:rPr>
                <w:lang w:eastAsia="en-GB"/>
              </w:rPr>
            </w:pPr>
            <w:r>
              <w:rPr>
                <w:b/>
                <w:lang w:eastAsia="en-GB"/>
              </w:rPr>
              <w:t>Quality Manager Name:</w:t>
            </w:r>
            <w:r>
              <w:rPr>
                <w:lang w:eastAsia="en-GB"/>
              </w:rPr>
              <w:t xml:space="preserve"> Matt Rymell</w:t>
            </w:r>
          </w:p>
          <w:p>
            <w:pPr>
              <w:pStyle w:val="Tabletext"/>
              <w:rPr>
                <w:lang w:eastAsia="en-GB"/>
              </w:rPr>
            </w:pPr>
            <w:r>
              <w:rPr>
                <w:lang w:eastAsia="en-GB"/>
              </w:rPr>
            </w:r>
          </w:p>
          <w:p>
            <w:pPr>
              <w:pStyle w:val="Tabletext"/>
              <w:keepNext w:val="false"/>
              <w:spacing w:before="40" w:after="40"/>
              <w:rPr>
                <w:b/>
                <w:b/>
                <w:i/>
                <w:i/>
                <w:lang w:eastAsia="en-GB"/>
              </w:rPr>
            </w:pPr>
            <w:r>
              <w:rPr>
                <w:b/>
                <w:lang w:eastAsia="en-GB"/>
              </w:rPr>
              <w:t>Verification Record Date:</w:t>
            </w:r>
            <w:r>
              <w:rPr>
                <w:lang w:eastAsia="en-GB"/>
              </w:rPr>
              <w:t xml:space="preserve"> ____________________ .</w:t>
            </w:r>
          </w:p>
        </w:tc>
      </w:tr>
    </w:tbl>
    <w:p>
      <w:pPr>
        <w:pStyle w:val="Normal"/>
        <w:rPr>
          <w:b/>
          <w:b/>
        </w:rPr>
      </w:pPr>
      <w:r>
        <w:rPr>
          <w:b/>
        </w:rPr>
      </w:r>
    </w:p>
    <w:p>
      <w:pPr>
        <w:pStyle w:val="Heading1"/>
        <w:ind w:left="0" w:right="146" w:hanging="0"/>
        <w:rPr/>
      </w:pPr>
      <w:bookmarkStart w:id="15" w:name="__RefHeading___Toc21099746"/>
      <w:bookmarkEnd w:id="15"/>
      <w:r>
        <w:rPr/>
        <w:t>References</w:t>
      </w:r>
    </w:p>
    <w:p>
      <w:pPr>
        <w:pStyle w:val="Normal"/>
        <w:rPr/>
      </w:pPr>
      <w:r>
        <w:rPr/>
        <w:t>The documents listed below were required to produce this document:</w:t>
      </w:r>
    </w:p>
    <w:tbl>
      <w:tblPr>
        <w:tblW w:w="4800" w:type="pct"/>
        <w:jc w:val="left"/>
        <w:tblInd w:w="-5" w:type="dxa"/>
        <w:tblCellMar>
          <w:top w:w="0" w:type="dxa"/>
          <w:left w:w="108" w:type="dxa"/>
          <w:bottom w:w="0" w:type="dxa"/>
          <w:right w:w="108" w:type="dxa"/>
        </w:tblCellMar>
      </w:tblPr>
      <w:tblGrid>
        <w:gridCol w:w="1213"/>
        <w:gridCol w:w="1521"/>
        <w:gridCol w:w="1938"/>
        <w:gridCol w:w="8727"/>
      </w:tblGrid>
      <w:tr>
        <w:trPr>
          <w:tblHeader w:val="true"/>
          <w:cantSplit w:val="true"/>
        </w:trPr>
        <w:tc>
          <w:tcPr>
            <w:tcW w:w="1213" w:type="dxa"/>
            <w:tcBorders>
              <w:top w:val="single" w:sz="4" w:space="0" w:color="000000"/>
              <w:left w:val="single" w:sz="4" w:space="0" w:color="000000"/>
              <w:bottom w:val="single" w:sz="4" w:space="0" w:color="000000"/>
            </w:tcBorders>
            <w:shd w:fill="E6E6E6" w:val="clear"/>
          </w:tcPr>
          <w:p>
            <w:pPr>
              <w:pStyle w:val="Tableheader"/>
              <w:keepNext w:val="true"/>
              <w:spacing w:lineRule="auto" w:line="276" w:before="40" w:after="40"/>
              <w:rPr/>
            </w:pPr>
            <w:r>
              <w:rPr/>
              <w:t>Reference</w:t>
            </w:r>
          </w:p>
        </w:tc>
        <w:tc>
          <w:tcPr>
            <w:tcW w:w="1521" w:type="dxa"/>
            <w:tcBorders>
              <w:top w:val="single" w:sz="4" w:space="0" w:color="000000"/>
              <w:left w:val="single" w:sz="4" w:space="0" w:color="000000"/>
              <w:bottom w:val="single" w:sz="4" w:space="0" w:color="000000"/>
            </w:tcBorders>
            <w:shd w:fill="E6E6E6" w:val="clear"/>
          </w:tcPr>
          <w:p>
            <w:pPr>
              <w:pStyle w:val="Tableheader"/>
              <w:keepNext w:val="true"/>
              <w:spacing w:lineRule="auto" w:line="276" w:before="40" w:after="40"/>
              <w:rPr/>
            </w:pPr>
            <w:r>
              <w:rPr/>
              <w:t>Document ID</w:t>
            </w:r>
          </w:p>
        </w:tc>
        <w:tc>
          <w:tcPr>
            <w:tcW w:w="1938" w:type="dxa"/>
            <w:tcBorders>
              <w:top w:val="single" w:sz="4" w:space="0" w:color="000000"/>
              <w:left w:val="single" w:sz="4" w:space="0" w:color="000000"/>
              <w:bottom w:val="single" w:sz="4" w:space="0" w:color="000000"/>
            </w:tcBorders>
            <w:shd w:fill="E6E6E6" w:val="clear"/>
          </w:tcPr>
          <w:p>
            <w:pPr>
              <w:pStyle w:val="Tableheader"/>
              <w:keepNext w:val="true"/>
              <w:spacing w:lineRule="auto" w:line="276" w:before="40" w:after="40"/>
              <w:rPr/>
            </w:pPr>
            <w:r>
              <w:rPr/>
              <w:t>Document Version</w:t>
            </w:r>
          </w:p>
        </w:tc>
        <w:tc>
          <w:tcPr>
            <w:tcW w:w="8727" w:type="dxa"/>
            <w:tcBorders>
              <w:top w:val="single" w:sz="4" w:space="0" w:color="000000"/>
              <w:left w:val="single" w:sz="4" w:space="0" w:color="000000"/>
              <w:bottom w:val="single" w:sz="4" w:space="0" w:color="000000"/>
              <w:right w:val="single" w:sz="4" w:space="0" w:color="000000"/>
            </w:tcBorders>
            <w:shd w:fill="E6E6E6" w:val="clear"/>
          </w:tcPr>
          <w:p>
            <w:pPr>
              <w:pStyle w:val="Tableheader"/>
              <w:keepNext w:val="true"/>
              <w:spacing w:lineRule="auto" w:line="276" w:before="40" w:after="40"/>
              <w:rPr/>
            </w:pPr>
            <w:r>
              <w:rPr/>
              <w:t>Document Title</w:t>
            </w:r>
          </w:p>
        </w:tc>
      </w:tr>
      <w:tr>
        <w:trPr>
          <w:cantSplit w:val="true"/>
        </w:trPr>
        <w:tc>
          <w:tcPr>
            <w:tcW w:w="1213" w:type="dxa"/>
            <w:tcBorders>
              <w:top w:val="single" w:sz="4" w:space="0" w:color="000000"/>
              <w:left w:val="single" w:sz="4" w:space="0" w:color="000000"/>
              <w:bottom w:val="single" w:sz="4" w:space="0" w:color="000000"/>
            </w:tcBorders>
          </w:tcPr>
          <w:p>
            <w:pPr>
              <w:pStyle w:val="Tabletext"/>
              <w:keepNext w:val="false"/>
              <w:spacing w:before="40" w:after="40"/>
              <w:rPr/>
            </w:pPr>
            <w:r>
              <w:rPr/>
              <w:t>1.</w:t>
            </w:r>
          </w:p>
        </w:tc>
        <w:tc>
          <w:tcPr>
            <w:tcW w:w="1521" w:type="dxa"/>
            <w:tcBorders>
              <w:top w:val="single" w:sz="4" w:space="0" w:color="000000"/>
              <w:left w:val="single" w:sz="4" w:space="0" w:color="000000"/>
              <w:bottom w:val="single" w:sz="4" w:space="0" w:color="000000"/>
            </w:tcBorders>
          </w:tcPr>
          <w:p>
            <w:pPr>
              <w:pStyle w:val="Tabletext"/>
              <w:spacing w:before="40" w:after="40"/>
              <w:rPr>
                <w:color w:val="000000"/>
              </w:rPr>
            </w:pPr>
            <w:r>
              <w:rPr>
                <w:color w:val="000000"/>
              </w:rPr>
              <w:t>N/A</w:t>
            </w:r>
          </w:p>
        </w:tc>
        <w:tc>
          <w:tcPr>
            <w:tcW w:w="1938" w:type="dxa"/>
            <w:tcBorders>
              <w:top w:val="single" w:sz="4" w:space="0" w:color="000000"/>
              <w:left w:val="single" w:sz="4" w:space="0" w:color="000000"/>
              <w:bottom w:val="single" w:sz="4" w:space="0" w:color="000000"/>
            </w:tcBorders>
          </w:tcPr>
          <w:p>
            <w:pPr>
              <w:pStyle w:val="Tabletext"/>
              <w:spacing w:before="40" w:after="40"/>
              <w:rPr>
                <w:color w:val="000000"/>
              </w:rPr>
            </w:pPr>
            <w:r>
              <w:rPr>
                <w:color w:val="000000"/>
              </w:rPr>
              <w:t>N/A</w:t>
            </w:r>
          </w:p>
        </w:tc>
        <w:tc>
          <w:tcPr>
            <w:tcW w:w="8727" w:type="dxa"/>
            <w:tcBorders>
              <w:top w:val="single" w:sz="4" w:space="0" w:color="000000"/>
              <w:left w:val="single" w:sz="4" w:space="0" w:color="000000"/>
              <w:bottom w:val="single" w:sz="4" w:space="0" w:color="000000"/>
              <w:right w:val="single" w:sz="4" w:space="0" w:color="000000"/>
            </w:tcBorders>
          </w:tcPr>
          <w:p>
            <w:pPr>
              <w:pStyle w:val="Tabletext"/>
              <w:spacing w:before="40" w:after="40"/>
              <w:rPr>
                <w:color w:val="000000"/>
              </w:rPr>
            </w:pPr>
            <w:r>
              <w:rPr>
                <w:color w:val="000000"/>
              </w:rPr>
              <w:t>N/A</w:t>
            </w:r>
          </w:p>
        </w:tc>
      </w:tr>
    </w:tbl>
    <w:p>
      <w:pPr>
        <w:pStyle w:val="Caption"/>
        <w:spacing w:lineRule="auto" w:line="240" w:before="120" w:after="200"/>
        <w:rPr/>
      </w:pPr>
      <w:bookmarkStart w:id="16" w:name="__RefHeading___Toc21099751"/>
      <w:bookmarkEnd w:id="16"/>
      <w:r>
        <w:rPr/>
        <w:t xml:space="preserve">Table </w:t>
      </w:r>
      <w:r>
        <w:rPr/>
        <w:fldChar w:fldCharType="begin"/>
      </w:r>
      <w:r>
        <w:rPr/>
        <w:instrText> SEQ Table \* ARABIC </w:instrText>
      </w:r>
      <w:r>
        <w:rPr/>
        <w:fldChar w:fldCharType="separate"/>
      </w:r>
      <w:r>
        <w:rPr/>
        <w:t>5</w:t>
      </w:r>
      <w:r>
        <w:rPr/>
        <w:fldChar w:fldCharType="end"/>
      </w:r>
      <w:r>
        <w:rPr/>
        <w:t>: References</w:t>
      </w:r>
    </w:p>
    <w:sectPr>
      <w:headerReference w:type="default" r:id="rId4"/>
      <w:footerReference w:type="default" r:id="rId5"/>
      <w:type w:val="nextPage"/>
      <w:pgSz w:orient="landscape" w:w="16838" w:h="11906"/>
      <w:pgMar w:left="1440" w:right="1440" w:header="567" w:top="1440"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Segoe UI">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widowControl w:val="false"/>
      <w:bidi w:val="0"/>
      <w:jc w:val="left"/>
      <w:rPr/>
    </w:pPr>
    <w:r>
      <w:rPr/>
    </w:r>
  </w:p>
  <w:tbl>
    <w:tblPr>
      <w:tblW w:w="14000" w:type="dxa"/>
      <w:jc w:val="left"/>
      <w:tblInd w:w="0" w:type="dxa"/>
      <w:tblCellMar>
        <w:top w:w="0" w:type="dxa"/>
        <w:left w:w="108" w:type="dxa"/>
        <w:bottom w:w="0" w:type="dxa"/>
        <w:right w:w="108" w:type="dxa"/>
      </w:tblCellMar>
    </w:tblPr>
    <w:tblGrid>
      <w:gridCol w:w="3055"/>
      <w:gridCol w:w="7685"/>
      <w:gridCol w:w="3260"/>
    </w:tblGrid>
    <w:tr>
      <w:trPr/>
      <w:tc>
        <w:tcPr>
          <w:tcW w:w="3055" w:type="dxa"/>
          <w:tcBorders>
            <w:top w:val="single" w:sz="4" w:space="0" w:color="000000"/>
          </w:tcBorders>
        </w:tcPr>
        <w:p>
          <w:pPr>
            <w:pStyle w:val="Footer"/>
            <w:tabs>
              <w:tab w:val="clear" w:pos="720"/>
              <w:tab w:val="center" w:pos="4536" w:leader="none"/>
              <w:tab w:val="right" w:pos="9072" w:leader="none"/>
            </w:tabs>
            <w:spacing w:before="0" w:after="0"/>
            <w:jc w:val="left"/>
            <w:rPr>
              <w:rFonts w:cs="Arial"/>
              <w:lang w:val="en-GB" w:eastAsia="en-GB"/>
            </w:rPr>
          </w:pPr>
          <w:r>
            <w:rPr>
              <w:rFonts w:cs="Arial"/>
              <w:lang w:val="en-GB" w:eastAsia="en-GB"/>
            </w:rPr>
            <w:t>UNCONTROLLED WHEN PRINTED</w:t>
          </w:r>
        </w:p>
      </w:tc>
      <w:tc>
        <w:tcPr>
          <w:tcW w:w="7685" w:type="dxa"/>
          <w:tcBorders>
            <w:top w:val="single" w:sz="4" w:space="0" w:color="000000"/>
          </w:tcBorders>
        </w:tcPr>
        <w:p>
          <w:pPr>
            <w:pStyle w:val="Footer"/>
            <w:tabs>
              <w:tab w:val="clear" w:pos="720"/>
              <w:tab w:val="center" w:pos="4536" w:leader="none"/>
              <w:tab w:val="right" w:pos="9072" w:leader="none"/>
            </w:tabs>
            <w:spacing w:before="0" w:after="0"/>
            <w:rPr>
              <w:rFonts w:cs="Arial"/>
              <w:lang w:val="en-GB" w:eastAsia="en-GB"/>
            </w:rPr>
          </w:pPr>
          <w:r>
            <w:rPr>
              <w:rFonts w:cs="Arial"/>
              <w:lang w:val="en-GB" w:eastAsia="en-GB"/>
            </w:rPr>
            <w:t>Copyright © 2019 Solidsoft Reply</w:t>
            <w:br/>
            <w:t>Confidential</w:t>
          </w:r>
        </w:p>
      </w:tc>
      <w:tc>
        <w:tcPr>
          <w:tcW w:w="3260" w:type="dxa"/>
          <w:tcBorders>
            <w:top w:val="single" w:sz="4" w:space="0" w:color="000000"/>
          </w:tcBorders>
        </w:tcPr>
        <w:p>
          <w:pPr>
            <w:pStyle w:val="Footer"/>
            <w:tabs>
              <w:tab w:val="clear" w:pos="720"/>
              <w:tab w:val="center" w:pos="4536" w:leader="none"/>
              <w:tab w:val="right" w:pos="9072" w:leader="none"/>
            </w:tabs>
            <w:spacing w:before="0" w:after="0"/>
            <w:jc w:val="right"/>
            <w:rPr>
              <w:rFonts w:cs="Arial"/>
              <w:lang w:val="en-GB" w:eastAsia="en-US"/>
            </w:rPr>
          </w:pPr>
          <w:r>
            <w:rPr>
              <w:rFonts w:cs="Arial"/>
              <w:lang w:val="en-GB" w:eastAsia="en-GB"/>
            </w:rPr>
            <w:t xml:space="preserve">Page </w:t>
          </w:r>
          <w:r>
            <w:rPr>
              <w:rFonts w:cs="Arial"/>
              <w:lang w:val="en-GB" w:eastAsia="en-GB"/>
            </w:rPr>
            <w:fldChar w:fldCharType="begin"/>
          </w:r>
          <w:r>
            <w:rPr>
              <w:rFonts w:cs="Arial"/>
              <w:lang w:val="en-GB" w:eastAsia="en-GB"/>
            </w:rPr>
            <w:instrText> PAGE </w:instrText>
          </w:r>
          <w:r>
            <w:rPr>
              <w:rFonts w:cs="Arial"/>
              <w:lang w:val="en-GB" w:eastAsia="en-GB"/>
            </w:rPr>
            <w:fldChar w:fldCharType="separate"/>
          </w:r>
          <w:r>
            <w:rPr>
              <w:rFonts w:cs="Arial"/>
              <w:lang w:val="en-GB" w:eastAsia="en-GB"/>
            </w:rPr>
            <w:t>3</w:t>
          </w:r>
          <w:r>
            <w:rPr>
              <w:rFonts w:cs="Arial"/>
              <w:lang w:val="en-GB" w:eastAsia="en-GB"/>
            </w:rPr>
            <w:fldChar w:fldCharType="end"/>
          </w:r>
          <w:r>
            <w:rPr>
              <w:rFonts w:cs="Arial"/>
              <w:lang w:val="en-GB" w:eastAsia="en-GB"/>
            </w:rPr>
            <w:t xml:space="preserve"> of </w:t>
          </w:r>
          <w:r>
            <w:rPr>
              <w:rFonts w:cs="Arial"/>
              <w:lang w:val="en-GB" w:eastAsia="en-GB"/>
            </w:rPr>
            <w:fldChar w:fldCharType="begin"/>
          </w:r>
          <w:r>
            <w:rPr>
              <w:rFonts w:cs="Arial"/>
              <w:lang w:val="en-GB" w:eastAsia="en-GB"/>
            </w:rPr>
            <w:instrText> NUMPAGES \* ARABIC </w:instrText>
          </w:r>
          <w:r>
            <w:rPr>
              <w:rFonts w:cs="Arial"/>
              <w:lang w:val="en-GB" w:eastAsia="en-GB"/>
            </w:rPr>
            <w:fldChar w:fldCharType="separate"/>
          </w:r>
          <w:r>
            <w:rPr>
              <w:rFonts w:cs="Arial"/>
              <w:lang w:val="en-GB" w:eastAsia="en-GB"/>
            </w:rPr>
            <w:t>28</w:t>
          </w:r>
          <w:r>
            <w:rPr>
              <w:rFonts w:cs="Arial"/>
              <w:lang w:val="en-GB" w:eastAsia="en-GB"/>
            </w:rPr>
            <w:fldChar w:fldCharType="end"/>
          </w:r>
        </w:p>
        <w:p>
          <w:pPr>
            <w:pStyle w:val="Footer"/>
            <w:tabs>
              <w:tab w:val="clear" w:pos="720"/>
              <w:tab w:val="center" w:pos="4536" w:leader="none"/>
              <w:tab w:val="right" w:pos="9072" w:leader="none"/>
            </w:tabs>
            <w:spacing w:before="0" w:after="0"/>
            <w:jc w:val="right"/>
            <w:rPr/>
          </w:pPr>
          <w:r>
            <w:rPr>
              <w:rFonts w:cs="Arial"/>
              <w:lang w:val="en-GB" w:eastAsia="en-GB"/>
            </w:rPr>
            <w:t>Template: EMVS0705 Version: 1.0</w:t>
          </w:r>
        </w:p>
      </w:tc>
    </w:tr>
  </w:tbl>
  <w:p>
    <w:pPr>
      <w:pStyle w:val="Footer"/>
      <w:tabs>
        <w:tab w:val="clear" w:pos="720"/>
        <w:tab w:val="center" w:pos="4536" w:leader="none"/>
        <w:tab w:val="right" w:pos="9072" w:leader="none"/>
      </w:tabs>
      <w:spacing w:before="0" w:after="2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widowControl w:val="false"/>
      <w:bidi w:val="0"/>
      <w:jc w:val="left"/>
      <w:rPr/>
    </w:pPr>
    <w:r>
      <w:rPr/>
    </w:r>
  </w:p>
  <w:tbl>
    <w:tblPr>
      <w:tblW w:w="14000" w:type="dxa"/>
      <w:jc w:val="left"/>
      <w:tblInd w:w="0" w:type="dxa"/>
      <w:tblCellMar>
        <w:top w:w="0" w:type="dxa"/>
        <w:left w:w="108" w:type="dxa"/>
        <w:bottom w:w="0" w:type="dxa"/>
        <w:right w:w="108" w:type="dxa"/>
      </w:tblCellMar>
    </w:tblPr>
    <w:tblGrid>
      <w:gridCol w:w="3055"/>
      <w:gridCol w:w="7685"/>
      <w:gridCol w:w="3260"/>
    </w:tblGrid>
    <w:tr>
      <w:trPr/>
      <w:tc>
        <w:tcPr>
          <w:tcW w:w="3055" w:type="dxa"/>
          <w:tcBorders>
            <w:top w:val="single" w:sz="4" w:space="0" w:color="000000"/>
          </w:tcBorders>
        </w:tcPr>
        <w:p>
          <w:pPr>
            <w:pStyle w:val="Footer"/>
            <w:tabs>
              <w:tab w:val="clear" w:pos="720"/>
              <w:tab w:val="center" w:pos="4536" w:leader="none"/>
              <w:tab w:val="right" w:pos="9072" w:leader="none"/>
            </w:tabs>
            <w:spacing w:before="0" w:after="0"/>
            <w:jc w:val="left"/>
            <w:rPr>
              <w:rFonts w:cs="Arial"/>
              <w:lang w:val="en-GB" w:eastAsia="en-GB"/>
            </w:rPr>
          </w:pPr>
          <w:r>
            <w:rPr>
              <w:rFonts w:cs="Arial"/>
              <w:lang w:val="en-GB" w:eastAsia="en-GB"/>
            </w:rPr>
            <w:t>UNCONTROLLED WHEN PRINTED</w:t>
          </w:r>
        </w:p>
      </w:tc>
      <w:tc>
        <w:tcPr>
          <w:tcW w:w="7685" w:type="dxa"/>
          <w:tcBorders>
            <w:top w:val="single" w:sz="4" w:space="0" w:color="000000"/>
          </w:tcBorders>
        </w:tcPr>
        <w:p>
          <w:pPr>
            <w:pStyle w:val="Footer"/>
            <w:tabs>
              <w:tab w:val="clear" w:pos="720"/>
              <w:tab w:val="center" w:pos="4536" w:leader="none"/>
              <w:tab w:val="right" w:pos="9072" w:leader="none"/>
            </w:tabs>
            <w:spacing w:before="0" w:after="0"/>
            <w:rPr/>
          </w:pPr>
          <w:r>
            <w:rPr>
              <w:rFonts w:cs="Arial"/>
              <w:lang w:val="en-GB" w:eastAsia="en-GB"/>
            </w:rPr>
            <w:t>Copyright © 2019 Solidsoft Reply</w:t>
            <w:br/>
            <w:t>Confidential</w:t>
          </w:r>
        </w:p>
      </w:tc>
      <w:tc>
        <w:tcPr>
          <w:tcW w:w="3260" w:type="dxa"/>
          <w:tcBorders>
            <w:top w:val="single" w:sz="4" w:space="0" w:color="000000"/>
          </w:tcBorders>
        </w:tcPr>
        <w:p>
          <w:pPr>
            <w:pStyle w:val="Footer"/>
            <w:tabs>
              <w:tab w:val="clear" w:pos="720"/>
              <w:tab w:val="center" w:pos="4536" w:leader="none"/>
              <w:tab w:val="right" w:pos="9072" w:leader="none"/>
            </w:tabs>
            <w:spacing w:before="0" w:after="0"/>
            <w:jc w:val="right"/>
            <w:rPr/>
          </w:pPr>
          <w:r>
            <w:rPr>
              <w:rFonts w:cs="Arial"/>
              <w:lang w:val="en-GB" w:eastAsia="en-GB"/>
            </w:rPr>
            <w:t xml:space="preserve">Page </w:t>
          </w:r>
          <w:r>
            <w:rPr>
              <w:rFonts w:cs="Arial"/>
              <w:lang w:val="en-GB" w:eastAsia="en-GB"/>
            </w:rPr>
            <w:fldChar w:fldCharType="begin"/>
          </w:r>
          <w:r>
            <w:rPr>
              <w:rFonts w:cs="Arial"/>
              <w:lang w:val="en-GB" w:eastAsia="en-GB"/>
            </w:rPr>
            <w:instrText> PAGE </w:instrText>
          </w:r>
          <w:r>
            <w:rPr>
              <w:rFonts w:cs="Arial"/>
              <w:lang w:val="en-GB" w:eastAsia="en-GB"/>
            </w:rPr>
            <w:fldChar w:fldCharType="separate"/>
          </w:r>
          <w:r>
            <w:rPr>
              <w:rFonts w:cs="Arial"/>
              <w:lang w:val="en-GB" w:eastAsia="en-GB"/>
            </w:rPr>
            <w:t>28</w:t>
          </w:r>
          <w:r>
            <w:rPr>
              <w:rFonts w:cs="Arial"/>
              <w:lang w:val="en-GB" w:eastAsia="en-GB"/>
            </w:rPr>
            <w:fldChar w:fldCharType="end"/>
          </w:r>
          <w:r>
            <w:rPr>
              <w:rFonts w:cs="Arial"/>
              <w:lang w:val="en-GB" w:eastAsia="en-GB"/>
            </w:rPr>
            <w:t xml:space="preserve"> of </w:t>
          </w:r>
          <w:r>
            <w:rPr>
              <w:rFonts w:cs="Arial"/>
              <w:lang w:val="en-GB" w:eastAsia="en-GB"/>
            </w:rPr>
            <w:fldChar w:fldCharType="begin"/>
          </w:r>
          <w:r>
            <w:rPr>
              <w:rFonts w:cs="Arial"/>
              <w:lang w:val="en-GB" w:eastAsia="en-GB"/>
            </w:rPr>
            <w:instrText> NUMPAGES \* ARABIC </w:instrText>
          </w:r>
          <w:r>
            <w:rPr>
              <w:rFonts w:cs="Arial"/>
              <w:lang w:val="en-GB" w:eastAsia="en-GB"/>
            </w:rPr>
            <w:fldChar w:fldCharType="separate"/>
          </w:r>
          <w:r>
            <w:rPr>
              <w:rFonts w:cs="Arial"/>
              <w:lang w:val="en-GB" w:eastAsia="en-GB"/>
            </w:rPr>
            <w:t>28</w:t>
          </w:r>
          <w:r>
            <w:rPr>
              <w:rFonts w:cs="Arial"/>
              <w:lang w:val="en-GB" w:eastAsia="en-GB"/>
            </w:rPr>
            <w:fldChar w:fldCharType="end"/>
          </w:r>
        </w:p>
        <w:p>
          <w:pPr>
            <w:pStyle w:val="Footer"/>
            <w:tabs>
              <w:tab w:val="clear" w:pos="720"/>
              <w:tab w:val="center" w:pos="4536" w:leader="none"/>
              <w:tab w:val="right" w:pos="9072" w:leader="none"/>
            </w:tabs>
            <w:spacing w:before="0" w:after="0"/>
            <w:jc w:val="right"/>
            <w:rPr/>
          </w:pPr>
          <w:r>
            <w:rPr>
              <w:rFonts w:cs="Arial"/>
              <w:lang w:val="en-GB" w:eastAsia="en-GB"/>
            </w:rPr>
            <w:t>Template: EMVS0705 Version: 1.0</w:t>
          </w:r>
        </w:p>
      </w:tc>
    </w:tr>
  </w:tbl>
  <w:p>
    <w:pPr>
      <w:pStyle w:val="Footer"/>
      <w:tabs>
        <w:tab w:val="clear" w:pos="720"/>
        <w:tab w:val="center" w:pos="4536" w:leader="none"/>
        <w:tab w:val="right" w:pos="9072" w:leader="none"/>
      </w:tabs>
      <w:spacing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000" w:type="dxa"/>
      <w:jc w:val="left"/>
      <w:tblInd w:w="0" w:type="dxa"/>
      <w:tblCellMar>
        <w:top w:w="0" w:type="dxa"/>
        <w:left w:w="108" w:type="dxa"/>
        <w:bottom w:w="0" w:type="dxa"/>
        <w:right w:w="108" w:type="dxa"/>
      </w:tblCellMar>
    </w:tblPr>
    <w:tblGrid>
      <w:gridCol w:w="10463"/>
      <w:gridCol w:w="3537"/>
    </w:tblGrid>
    <w:tr>
      <w:trPr>
        <w:trHeight w:val="1182" w:hRule="atLeast"/>
      </w:trPr>
      <w:tc>
        <w:tcPr>
          <w:tcW w:w="10463" w:type="dxa"/>
          <w:tcBorders>
            <w:top w:val="single" w:sz="4" w:space="0" w:color="000000"/>
            <w:bottom w:val="single" w:sz="4" w:space="0" w:color="000000"/>
          </w:tcBorders>
          <w:vAlign w:val="center"/>
        </w:tcPr>
        <w:p>
          <w:pPr>
            <w:pStyle w:val="Normal"/>
            <w:spacing w:lineRule="auto" w:line="240" w:before="0" w:after="0"/>
            <w:rPr>
              <w:bCs/>
              <w:color w:val="000000"/>
              <w:sz w:val="24"/>
              <w:szCs w:val="24"/>
              <w:lang w:val="fr-FR"/>
            </w:rPr>
          </w:pPr>
          <w:r>
            <w:rPr>
              <w:bCs/>
              <w:color w:val="000000"/>
              <w:sz w:val="24"/>
              <w:szCs w:val="24"/>
              <w:lang w:val="fr-FR"/>
            </w:rPr>
            <w:t>Document ID</w:t>
          </w:r>
          <w:r>
            <w:rPr>
              <w:bCs/>
              <w:color w:val="000000"/>
              <w:sz w:val="24"/>
              <w:szCs w:val="24"/>
            </w:rPr>
            <w:t xml:space="preserve">: </w:t>
          </w:r>
          <w:r>
            <w:rPr>
              <w:bCs/>
              <w:color w:val="000000"/>
              <w:sz w:val="24"/>
              <w:szCs w:val="24"/>
              <w:lang w:val="fr-FR"/>
            </w:rPr>
            <w:t>EMVS1724</w:t>
          </w:r>
        </w:p>
        <w:p>
          <w:pPr>
            <w:pStyle w:val="Normal"/>
            <w:spacing w:lineRule="auto" w:line="240" w:before="0" w:after="0"/>
            <w:rPr>
              <w:bCs/>
              <w:color w:val="000000"/>
              <w:sz w:val="24"/>
              <w:szCs w:val="24"/>
              <w:lang w:val="fr-FR"/>
            </w:rPr>
          </w:pPr>
          <w:r>
            <w:rPr>
              <w:bCs/>
              <w:color w:val="000000"/>
              <w:sz w:val="24"/>
              <w:szCs w:val="24"/>
              <w:lang w:val="fr-FR"/>
            </w:rPr>
            <w:t>Document Version: 0.1</w:t>
          </w:r>
        </w:p>
        <w:p>
          <w:pPr>
            <w:pStyle w:val="Normal"/>
            <w:spacing w:lineRule="auto" w:line="240" w:before="0" w:after="0"/>
            <w:ind w:right="-249" w:hanging="0"/>
            <w:rPr>
              <w:bCs/>
              <w:color w:val="000000"/>
              <w:sz w:val="24"/>
              <w:szCs w:val="24"/>
            </w:rPr>
          </w:pPr>
          <w:r>
            <w:rPr>
              <w:bCs/>
              <w:color w:val="000000"/>
              <w:sz w:val="24"/>
              <w:szCs w:val="24"/>
            </w:rPr>
            <w:t>Document Title</w:t>
          </w:r>
          <w:r>
            <w:rPr>
              <w:bCs/>
              <w:color w:val="000000"/>
              <w:sz w:val="24"/>
              <w:szCs w:val="24"/>
              <w:lang w:val="fr-FR"/>
            </w:rPr>
            <w:t>: EMVS Hardware and Standard Software Record – NBS – Production (PRD-IQE) - Bulgaria</w:t>
          </w:r>
        </w:p>
        <w:p>
          <w:pPr>
            <w:pStyle w:val="Normal"/>
            <w:spacing w:lineRule="auto" w:line="240" w:before="0" w:after="0"/>
            <w:ind w:right="-675" w:hanging="0"/>
            <w:rPr>
              <w:sz w:val="16"/>
              <w:szCs w:val="16"/>
            </w:rPr>
          </w:pPr>
          <w:r>
            <w:rPr>
              <w:bCs/>
              <w:color w:val="000000"/>
              <w:sz w:val="24"/>
              <w:szCs w:val="24"/>
            </w:rPr>
            <w:t>Document Status: Draft</w:t>
          </w:r>
        </w:p>
      </w:tc>
      <w:tc>
        <w:tcPr>
          <w:tcW w:w="3537" w:type="dxa"/>
          <w:tcBorders>
            <w:top w:val="single" w:sz="4" w:space="0" w:color="000000"/>
            <w:bottom w:val="single" w:sz="4" w:space="0" w:color="000000"/>
          </w:tcBorders>
          <w:vAlign w:val="center"/>
        </w:tcPr>
        <w:p>
          <w:pPr>
            <w:pStyle w:val="Normal"/>
            <w:spacing w:lineRule="auto" w:line="240" w:before="0" w:after="0"/>
            <w:ind w:left="1026" w:hanging="0"/>
            <w:rPr>
              <w:sz w:val="16"/>
              <w:szCs w:val="16"/>
            </w:rPr>
          </w:pPr>
          <w:r>
            <w:rPr>
              <w:sz w:val="16"/>
              <w:szCs w:val="16"/>
            </w:rPr>
            <w:drawing>
              <wp:inline distT="0" distB="0" distL="0" distR="0">
                <wp:extent cx="1457325" cy="457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25" t="-79" r="-25" b="-79"/>
                        <a:stretch>
                          <a:fillRect/>
                        </a:stretch>
                      </pic:blipFill>
                      <pic:spPr bwMode="auto">
                        <a:xfrm>
                          <a:off x="0" y="0"/>
                          <a:ext cx="1457325" cy="457200"/>
                        </a:xfrm>
                        <a:prstGeom prst="rect">
                          <a:avLst/>
                        </a:prstGeom>
                      </pic:spPr>
                    </pic:pic>
                  </a:graphicData>
                </a:graphic>
              </wp:inline>
            </w:drawing>
          </w:r>
        </w:p>
      </w:tc>
    </w:tr>
  </w:tbl>
  <w:p>
    <w:pPr>
      <w:pStyle w:val="NoSpacing"/>
      <w:widowControl w:val="false"/>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000" w:type="dxa"/>
      <w:jc w:val="left"/>
      <w:tblInd w:w="0" w:type="dxa"/>
      <w:tblCellMar>
        <w:top w:w="0" w:type="dxa"/>
        <w:left w:w="108" w:type="dxa"/>
        <w:bottom w:w="0" w:type="dxa"/>
        <w:right w:w="108" w:type="dxa"/>
      </w:tblCellMar>
    </w:tblPr>
    <w:tblGrid>
      <w:gridCol w:w="10463"/>
      <w:gridCol w:w="3537"/>
    </w:tblGrid>
    <w:tr>
      <w:trPr>
        <w:trHeight w:val="1182" w:hRule="atLeast"/>
      </w:trPr>
      <w:tc>
        <w:tcPr>
          <w:tcW w:w="10463" w:type="dxa"/>
          <w:tcBorders>
            <w:top w:val="single" w:sz="4" w:space="0" w:color="000000"/>
            <w:bottom w:val="single" w:sz="4" w:space="0" w:color="000000"/>
          </w:tcBorders>
          <w:vAlign w:val="center"/>
        </w:tcPr>
        <w:p>
          <w:pPr>
            <w:pStyle w:val="Normal"/>
            <w:spacing w:lineRule="auto" w:line="240" w:before="0" w:after="0"/>
            <w:rPr/>
          </w:pPr>
          <w:r>
            <w:rPr>
              <w:bCs/>
              <w:color w:val="000000"/>
              <w:sz w:val="24"/>
              <w:szCs w:val="24"/>
              <w:lang w:val="fr-FR"/>
            </w:rPr>
            <w:t>Document ID</w:t>
          </w:r>
          <w:r>
            <w:rPr>
              <w:bCs/>
              <w:color w:val="000000"/>
              <w:sz w:val="24"/>
              <w:szCs w:val="24"/>
            </w:rPr>
            <w:t xml:space="preserve">: </w:t>
          </w:r>
          <w:r>
            <w:rPr>
              <w:bCs/>
              <w:color w:val="000000"/>
              <w:sz w:val="24"/>
              <w:szCs w:val="24"/>
              <w:lang w:val="fr-FR"/>
            </w:rPr>
            <w:t>EMVS1724</w:t>
          </w:r>
        </w:p>
        <w:p>
          <w:pPr>
            <w:pStyle w:val="Normal"/>
            <w:spacing w:lineRule="auto" w:line="240" w:before="0" w:after="0"/>
            <w:rPr/>
          </w:pPr>
          <w:r>
            <w:rPr>
              <w:bCs/>
              <w:color w:val="000000"/>
              <w:sz w:val="24"/>
              <w:szCs w:val="24"/>
              <w:lang w:val="fr-FR"/>
            </w:rPr>
            <w:t>Document Version: 0.1</w:t>
          </w:r>
        </w:p>
        <w:p>
          <w:pPr>
            <w:pStyle w:val="Normal"/>
            <w:spacing w:lineRule="auto" w:line="240" w:before="0" w:after="0"/>
            <w:ind w:right="-249" w:hanging="0"/>
            <w:rPr/>
          </w:pPr>
          <w:r>
            <w:rPr>
              <w:bCs/>
              <w:color w:val="000000"/>
              <w:sz w:val="24"/>
              <w:szCs w:val="24"/>
            </w:rPr>
            <w:t>Document Title</w:t>
          </w:r>
          <w:r>
            <w:rPr>
              <w:bCs/>
              <w:color w:val="000000"/>
              <w:sz w:val="24"/>
              <w:szCs w:val="24"/>
              <w:lang w:val="fr-FR"/>
            </w:rPr>
            <w:t>: EMVS Hardware and Standard Software Record – NBS – Production (PRD-IQE) - Bulgaria</w:t>
          </w:r>
        </w:p>
        <w:p>
          <w:pPr>
            <w:pStyle w:val="Normal"/>
            <w:spacing w:lineRule="auto" w:line="240" w:before="0" w:after="0"/>
            <w:ind w:right="-675" w:hanging="0"/>
            <w:rPr/>
          </w:pPr>
          <w:r>
            <w:rPr>
              <w:bCs/>
              <w:color w:val="000000"/>
              <w:sz w:val="24"/>
              <w:szCs w:val="24"/>
            </w:rPr>
            <w:t>Document Status: Draft</w:t>
          </w:r>
        </w:p>
      </w:tc>
      <w:tc>
        <w:tcPr>
          <w:tcW w:w="3537" w:type="dxa"/>
          <w:tcBorders>
            <w:top w:val="single" w:sz="4" w:space="0" w:color="000000"/>
            <w:bottom w:val="single" w:sz="4" w:space="0" w:color="000000"/>
          </w:tcBorders>
          <w:vAlign w:val="center"/>
        </w:tcPr>
        <w:p>
          <w:pPr>
            <w:pStyle w:val="Normal"/>
            <w:spacing w:lineRule="auto" w:line="240" w:before="0" w:after="0"/>
            <w:ind w:left="1026" w:hanging="0"/>
            <w:rPr>
              <w:sz w:val="16"/>
              <w:szCs w:val="16"/>
            </w:rPr>
          </w:pPr>
          <w:r>
            <w:rPr>
              <w:sz w:val="16"/>
              <w:szCs w:val="16"/>
            </w:rPr>
            <w:drawing>
              <wp:inline distT="0" distB="0" distL="0" distR="0">
                <wp:extent cx="1457325" cy="4572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rcRect l="-25" t="-79" r="-25" b="-79"/>
                        <a:stretch>
                          <a:fillRect/>
                        </a:stretch>
                      </pic:blipFill>
                      <pic:spPr bwMode="auto">
                        <a:xfrm>
                          <a:off x="0" y="0"/>
                          <a:ext cx="1457325" cy="457200"/>
                        </a:xfrm>
                        <a:prstGeom prst="rect">
                          <a:avLst/>
                        </a:prstGeom>
                      </pic:spPr>
                    </pic:pic>
                  </a:graphicData>
                </a:graphic>
              </wp:inline>
            </w:drawing>
          </w:r>
        </w:p>
      </w:tc>
    </w:tr>
  </w:tbl>
  <w:p>
    <w:pPr>
      <w:pStyle w:val="NoSpacing"/>
      <w:widowControl w:val="false"/>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i w:val="false"/>
      </w:rPr>
    </w:lvl>
    <w:lvl w:ilvl="3">
      <w:start w:val="1"/>
      <w:pStyle w:val="Heading4"/>
      <w:numFmt w:val="decimal"/>
      <w:lvlText w:val="%1.%2.%3.%4"/>
      <w:lvlJc w:val="left"/>
      <w:pPr>
        <w:ind w:left="0" w:hanging="0"/>
      </w:pPr>
      <w:rPr>
        <w:b/>
        <w:rFonts w:ascii="Calibri" w:hAnsi="Calibri" w:cs="Calibri"/>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abstractNum w:abstractNumId="2">
    <w:lvl w:ilvl="0">
      <w:start w:val="1"/>
      <w:numFmt w:val="lowerLetter"/>
      <w:lvlText w:val="%1)"/>
      <w:lvlJc w:val="left"/>
      <w:pPr>
        <w:ind w:left="720" w:hanging="360"/>
      </w:pPr>
      <w:rPr>
        <w:sz w:val="22"/>
        <w:szCs w:val="22"/>
        <w:color w:val="000000"/>
      </w:rPr>
    </w:lvl>
  </w:abstractNum>
  <w:abstractNum w:abstractNumId="3">
    <w:lvl w:ilvl="0">
      <w:start w:val="1"/>
      <w:numFmt w:val="bullet"/>
      <w:lvlText w:val="o"/>
      <w:lvlJc w:val="left"/>
      <w:pPr>
        <w:ind w:left="1009" w:hanging="360"/>
      </w:pPr>
      <w:rPr>
        <w:rFonts w:ascii="Courier New" w:hAnsi="Courier New" w:cs="Courier New" w:hint="default"/>
        <w:rFonts w:cs="Courier New"/>
      </w:rPr>
    </w:lvl>
  </w:abstractNum>
  <w:abstractNum w:abstractNumId="4">
    <w:lvl w:ilvl="0">
      <w:start w:val="1"/>
      <w:numFmt w:val="decimal"/>
      <w:lvlText w:val="%1."/>
      <w:lvlJc w:val="left"/>
      <w:pPr>
        <w:ind w:left="360" w:hanging="360"/>
      </w:pPr>
      <w:rPr/>
    </w:lvl>
  </w:abstractNum>
  <w:abstractNum w:abstractNumId="5">
    <w:lvl w:ilvl="0">
      <w:start w:val="1"/>
      <w:numFmt w:val="bullet"/>
      <w:lvlText w:val=""/>
      <w:lvlJc w:val="left"/>
      <w:pPr>
        <w:ind w:left="720" w:hanging="360"/>
      </w:pPr>
      <w:rPr>
        <w:rFonts w:ascii="Symbol" w:hAnsi="Symbol" w:cs="Symbol" w:hint="default"/>
        <w:rFonts w:cs="Symbol"/>
        <w:color w:val="000000"/>
      </w:rPr>
    </w:lvl>
  </w:abstractNum>
  <w:abstractNum w:abstractNumId="6">
    <w:lvl w:ilvl="0">
      <w:start w:val="1"/>
      <w:numFmt w:val="decimal"/>
      <w:lvlText w:val="%1."/>
      <w:lvlJc w:val="left"/>
      <w:pPr>
        <w:ind w:left="360" w:hanging="360"/>
      </w:pPr>
      <w:rPr/>
    </w:lvl>
  </w:abstractNum>
  <w:abstractNum w:abstractNumId="7">
    <w:lvl w:ilvl="0">
      <w:start w:val="1"/>
      <w:numFmt w:val="decimal"/>
      <w:lvlText w:val="%1."/>
      <w:lvlJc w:val="left"/>
      <w:pPr>
        <w:ind w:left="360" w:hanging="360"/>
      </w:pPr>
      <w:rPr/>
    </w:lvl>
  </w:abstractNum>
  <w:abstractNum w:abstractNumId="8">
    <w:lvl w:ilvl="0">
      <w:start w:val="1"/>
      <w:numFmt w:val="bullet"/>
      <w:lvlText w:val=""/>
      <w:lvlJc w:val="left"/>
      <w:pPr>
        <w:ind w:left="179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uto" w:line="276" w:before="0" w:after="200"/>
    </w:pPr>
    <w:rPr>
      <w:rFonts w:ascii="Calibri" w:hAnsi="Calibri"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spacing w:before="120" w:after="60"/>
      <w:outlineLvl w:val="0"/>
    </w:pPr>
    <w:rPr>
      <w:rFonts w:cs="Times New Roman"/>
      <w:b/>
      <w:sz w:val="28"/>
      <w:lang w:val="en-US"/>
    </w:rPr>
  </w:style>
  <w:style w:type="paragraph" w:styleId="Heading2">
    <w:name w:val="Heading 2"/>
    <w:basedOn w:val="Heading1"/>
    <w:next w:val="Normal"/>
    <w:qFormat/>
    <w:pPr>
      <w:numPr>
        <w:ilvl w:val="1"/>
        <w:numId w:val="1"/>
      </w:numPr>
      <w:outlineLvl w:val="1"/>
    </w:pPr>
    <w:rPr>
      <w:sz w:val="24"/>
    </w:rPr>
  </w:style>
  <w:style w:type="paragraph" w:styleId="Heading3">
    <w:name w:val="Heading 3"/>
    <w:basedOn w:val="Heading1"/>
    <w:next w:val="Normal"/>
    <w:qFormat/>
    <w:pPr>
      <w:numPr>
        <w:ilvl w:val="2"/>
        <w:numId w:val="1"/>
      </w:numPr>
      <w:outlineLvl w:val="2"/>
    </w:pPr>
    <w:rPr>
      <w:b w:val="false"/>
      <w:i/>
      <w:sz w:val="24"/>
    </w:rPr>
  </w:style>
  <w:style w:type="paragraph" w:styleId="Heading4">
    <w:name w:val="Heading 4"/>
    <w:basedOn w:val="Heading1"/>
    <w:next w:val="Normal"/>
    <w:qFormat/>
    <w:pPr>
      <w:numPr>
        <w:ilvl w:val="3"/>
        <w:numId w:val="1"/>
      </w:numPr>
      <w:outlineLvl w:val="3"/>
    </w:pPr>
    <w:rPr>
      <w:sz w:val="20"/>
    </w:rPr>
  </w:style>
  <w:style w:type="paragraph" w:styleId="Heading5">
    <w:name w:val="Heading 5"/>
    <w:basedOn w:val="Normal"/>
    <w:next w:val="Normal"/>
    <w:qFormat/>
    <w:pPr>
      <w:numPr>
        <w:ilvl w:val="4"/>
        <w:numId w:val="1"/>
      </w:numPr>
      <w:spacing w:before="120" w:after="60"/>
      <w:outlineLvl w:val="4"/>
    </w:pPr>
    <w:rPr>
      <w:rFonts w:cs="Times New Roman"/>
      <w:b/>
      <w:i/>
      <w:sz w:val="20"/>
      <w:lang w:val="en-US"/>
    </w:rPr>
  </w:style>
  <w:style w:type="paragraph" w:styleId="Heading6">
    <w:name w:val="Heading 6"/>
    <w:basedOn w:val="Normal"/>
    <w:next w:val="Normal"/>
    <w:qFormat/>
    <w:pPr>
      <w:numPr>
        <w:ilvl w:val="5"/>
        <w:numId w:val="1"/>
      </w:numPr>
      <w:spacing w:before="120" w:after="60"/>
      <w:outlineLvl w:val="5"/>
    </w:pPr>
    <w:rPr>
      <w:rFonts w:cs="Times New Roman"/>
      <w:b/>
      <w:i/>
      <w:sz w:val="20"/>
      <w:lang w:val="en-US"/>
    </w:rPr>
  </w:style>
  <w:style w:type="paragraph" w:styleId="Heading7">
    <w:name w:val="Heading 7"/>
    <w:basedOn w:val="Normal"/>
    <w:next w:val="Normal"/>
    <w:qFormat/>
    <w:pPr>
      <w:numPr>
        <w:ilvl w:val="6"/>
        <w:numId w:val="1"/>
      </w:numPr>
      <w:spacing w:before="240" w:after="60"/>
      <w:outlineLvl w:val="6"/>
    </w:pPr>
    <w:rPr>
      <w:rFonts w:cs="Times New Roman"/>
      <w:b/>
      <w:i/>
      <w:sz w:val="20"/>
      <w:lang w:val="en-US"/>
    </w:rPr>
  </w:style>
  <w:style w:type="paragraph" w:styleId="Heading8">
    <w:name w:val="Heading 8"/>
    <w:basedOn w:val="Normal"/>
    <w:next w:val="Normal"/>
    <w:qFormat/>
    <w:pPr>
      <w:numPr>
        <w:ilvl w:val="7"/>
        <w:numId w:val="1"/>
      </w:numPr>
      <w:spacing w:before="240" w:after="60"/>
      <w:outlineLvl w:val="7"/>
    </w:pPr>
    <w:rPr>
      <w:rFonts w:cs="Times New Roman"/>
      <w:b/>
      <w:sz w:val="20"/>
      <w:lang w:val="en-US"/>
    </w:rPr>
  </w:style>
  <w:style w:type="paragraph" w:styleId="Heading9">
    <w:name w:val="Heading 9"/>
    <w:basedOn w:val="Normal"/>
    <w:next w:val="Normal"/>
    <w:qFormat/>
    <w:pPr>
      <w:numPr>
        <w:ilvl w:val="8"/>
        <w:numId w:val="1"/>
      </w:numPr>
      <w:spacing w:before="240" w:after="60"/>
      <w:outlineLvl w:val="8"/>
    </w:pPr>
    <w:rPr>
      <w:rFonts w:cs="Times New Roman"/>
      <w:i/>
      <w:sz w:val="20"/>
      <w:lang w:val="en-US"/>
    </w:rPr>
  </w:style>
  <w:style w:type="character" w:styleId="WW8Num1z0">
    <w:name w:val="WW8Num1z0"/>
    <w:qFormat/>
    <w:rPr>
      <w:color w:val="000000"/>
      <w:sz w:val="22"/>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i w:val="false"/>
    </w:rPr>
  </w:style>
  <w:style w:type="character" w:styleId="WW8Num8z3">
    <w:name w:val="WW8Num8z3"/>
    <w:qFormat/>
    <w:rPr>
      <w:rFonts w:ascii="Calibri" w:hAnsi="Calibri" w:cs="Calibri"/>
      <w:b/>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Heading1Char">
    <w:name w:val="Heading 1 Char"/>
    <w:qFormat/>
    <w:rPr>
      <w:rFonts w:eastAsia="Times New Roman"/>
      <w:b/>
      <w:sz w:val="28"/>
      <w:lang w:val="en-US"/>
    </w:rPr>
  </w:style>
  <w:style w:type="character" w:styleId="Heading2Char">
    <w:name w:val="Heading 2 Char"/>
    <w:qFormat/>
    <w:rPr>
      <w:rFonts w:eastAsia="Times New Roman"/>
      <w:b/>
      <w:sz w:val="24"/>
      <w:lang w:val="en-US"/>
    </w:rPr>
  </w:style>
  <w:style w:type="character" w:styleId="Heading3Char">
    <w:name w:val="Heading 3 Char"/>
    <w:qFormat/>
    <w:rPr>
      <w:rFonts w:eastAsia="Times New Roman"/>
      <w:i/>
      <w:sz w:val="24"/>
      <w:lang w:val="en-US"/>
    </w:rPr>
  </w:style>
  <w:style w:type="character" w:styleId="Heading4Char">
    <w:name w:val="Heading 4 Char"/>
    <w:qFormat/>
    <w:rPr>
      <w:rFonts w:eastAsia="Times New Roman"/>
      <w:b/>
      <w:lang w:val="en-US"/>
    </w:rPr>
  </w:style>
  <w:style w:type="character" w:styleId="Heading5Char">
    <w:name w:val="Heading 5 Char"/>
    <w:qFormat/>
    <w:rPr>
      <w:rFonts w:eastAsia="Times New Roman"/>
      <w:b/>
      <w:i/>
      <w:lang w:val="en-US"/>
    </w:rPr>
  </w:style>
  <w:style w:type="character" w:styleId="Heading6Char">
    <w:name w:val="Heading 6 Char"/>
    <w:qFormat/>
    <w:rPr>
      <w:rFonts w:eastAsia="Times New Roman"/>
      <w:b/>
      <w:i/>
      <w:lang w:val="en-US"/>
    </w:rPr>
  </w:style>
  <w:style w:type="character" w:styleId="Heading7Char">
    <w:name w:val="Heading 7 Char"/>
    <w:qFormat/>
    <w:rPr>
      <w:rFonts w:eastAsia="Times New Roman"/>
      <w:b/>
      <w:i/>
      <w:lang w:val="en-US"/>
    </w:rPr>
  </w:style>
  <w:style w:type="character" w:styleId="Heading8Char">
    <w:name w:val="Heading 8 Char"/>
    <w:qFormat/>
    <w:rPr>
      <w:rFonts w:eastAsia="Times New Roman"/>
      <w:b/>
      <w:lang w:val="en-US"/>
    </w:rPr>
  </w:style>
  <w:style w:type="character" w:styleId="Heading9Char">
    <w:name w:val="Heading 9 Char"/>
    <w:qFormat/>
    <w:rPr>
      <w:rFonts w:eastAsia="Times New Roman"/>
      <w:i/>
      <w:lang w:val="en-US"/>
    </w:rPr>
  </w:style>
  <w:style w:type="character" w:styleId="TitleChar">
    <w:name w:val="Title Char"/>
    <w:qFormat/>
    <w:rPr>
      <w:rFonts w:ascii="Calibri" w:hAnsi="Calibri" w:eastAsia="Times New Roman" w:cs="Arial"/>
      <w:b/>
      <w:sz w:val="48"/>
      <w:szCs w:val="20"/>
      <w:lang w:val="en-US"/>
    </w:rPr>
  </w:style>
  <w:style w:type="character" w:styleId="FooterChar">
    <w:name w:val="Footer Char"/>
    <w:qFormat/>
    <w:rPr>
      <w:rFonts w:ascii="Calibri" w:hAnsi="Calibri" w:eastAsia="Times New Roman" w:cs="Arial"/>
      <w:sz w:val="18"/>
      <w:szCs w:val="18"/>
      <w:lang w:val="en-US"/>
    </w:rPr>
  </w:style>
  <w:style w:type="character" w:styleId="InternetLink">
    <w:name w:val="Hyperlink"/>
    <w:rPr>
      <w:rFonts w:ascii="Calibri" w:hAnsi="Calibri" w:cs="Calibri"/>
      <w:color w:val="0000FF"/>
      <w:sz w:val="22"/>
      <w:u w:val="single"/>
    </w:rPr>
  </w:style>
  <w:style w:type="character" w:styleId="HeaderChar">
    <w:name w:val="Header Char"/>
    <w:qFormat/>
    <w:rPr>
      <w:rFonts w:eastAsia="Times New Roman" w:cs="Arial"/>
      <w:b/>
      <w:sz w:val="32"/>
      <w:szCs w:val="20"/>
      <w:lang w:val="en-US"/>
    </w:rPr>
  </w:style>
  <w:style w:type="character" w:styleId="BalloonTextChar">
    <w:name w:val="Balloon Text Char"/>
    <w:qFormat/>
    <w:rPr>
      <w:rFonts w:ascii="Tahoma" w:hAnsi="Tahoma" w:eastAsia="Times New Roman" w:cs="Tahoma"/>
      <w:sz w:val="16"/>
      <w:szCs w:val="16"/>
      <w:lang w:val="en-US"/>
    </w:rPr>
  </w:style>
  <w:style w:type="character" w:styleId="SubtitleChar">
    <w:name w:val="Subtitle Char"/>
    <w:qFormat/>
    <w:rPr>
      <w:rFonts w:ascii="Calibri" w:hAnsi="Calibri" w:eastAsia="Times New Roman" w:cs="Times New Roman"/>
      <w:i/>
      <w:iCs/>
      <w:spacing w:val="15"/>
      <w:sz w:val="24"/>
      <w:szCs w:val="24"/>
      <w:lang w:val="en-US"/>
    </w:rPr>
  </w:style>
  <w:style w:type="character" w:styleId="IntenseEmphasis">
    <w:name w:val="Intense Emphasis"/>
    <w:qFormat/>
    <w:rPr>
      <w:b/>
      <w:bCs/>
      <w:i/>
      <w:iCs/>
      <w:color w:val="000000"/>
    </w:rPr>
  </w:style>
  <w:style w:type="character" w:styleId="IntenseQuoteChar">
    <w:name w:val="Intense Quote Char"/>
    <w:qFormat/>
    <w:rPr>
      <w:rFonts w:eastAsia="Times New Roman" w:cs="Arial"/>
      <w:b/>
      <w:bCs/>
      <w:i/>
      <w:iCs/>
      <w:szCs w:val="20"/>
      <w:lang w:val="en-US"/>
    </w:rPr>
  </w:style>
  <w:style w:type="character" w:styleId="SubtleReference">
    <w:name w:val="Subtle Reference"/>
    <w:qFormat/>
    <w:rPr>
      <w:rFonts w:ascii="Calibri" w:hAnsi="Calibri" w:cs="Calibri"/>
      <w:smallCaps/>
      <w:color w:val="000000"/>
      <w:sz w:val="22"/>
      <w:u w:val="single"/>
    </w:rPr>
  </w:style>
  <w:style w:type="character" w:styleId="IntenseReference">
    <w:name w:val="Intense Reference"/>
    <w:qFormat/>
    <w:rPr>
      <w:rFonts w:ascii="Calibri" w:hAnsi="Calibri" w:cs="Calibri"/>
      <w:b/>
      <w:bCs/>
      <w:smallCaps/>
      <w:color w:val="000000"/>
      <w:spacing w:val="5"/>
      <w:sz w:val="22"/>
      <w:u w:val="single"/>
    </w:rPr>
  </w:style>
  <w:style w:type="character" w:styleId="CommentReference">
    <w:name w:val="Comment Reference"/>
    <w:qFormat/>
    <w:rPr>
      <w:sz w:val="16"/>
      <w:szCs w:val="16"/>
    </w:rPr>
  </w:style>
  <w:style w:type="character" w:styleId="CommentTextChar">
    <w:name w:val="Comment Text Char"/>
    <w:qFormat/>
    <w:rPr>
      <w:rFonts w:eastAsia="Times New Roman" w:cs="Arial"/>
      <w:sz w:val="20"/>
      <w:szCs w:val="20"/>
    </w:rPr>
  </w:style>
  <w:style w:type="character" w:styleId="StrongEmphasis">
    <w:name w:val="Strong Emphasis"/>
    <w:qFormat/>
    <w:rPr>
      <w:b/>
      <w:bCs/>
    </w:rPr>
  </w:style>
  <w:style w:type="character" w:styleId="PlaceholderText">
    <w:name w:val="Placeholder Text"/>
    <w:qFormat/>
    <w:rPr>
      <w:color w:val="808080"/>
    </w:rPr>
  </w:style>
  <w:style w:type="character" w:styleId="RequirementLevel1Char">
    <w:name w:val="Requirement Level 1 Char"/>
    <w:qFormat/>
    <w:rPr>
      <w:rFonts w:ascii="Segoe UI" w:hAnsi="Segoe UI" w:cs="Segoe UI"/>
      <w:b/>
      <w:color w:val="948A54"/>
      <w:sz w:val="28"/>
      <w:szCs w:val="20"/>
    </w:rPr>
  </w:style>
  <w:style w:type="character" w:styleId="RequirementLevel2Char">
    <w:name w:val="Requirement Level 2 Char"/>
    <w:qFormat/>
    <w:rPr>
      <w:rFonts w:ascii="Segoe UI" w:hAnsi="Segoe UI" w:cs="Segoe UI"/>
      <w:b/>
      <w:color w:val="365F91"/>
      <w:sz w:val="28"/>
      <w:szCs w:val="20"/>
    </w:rPr>
  </w:style>
  <w:style w:type="character" w:styleId="CommentSubjectChar">
    <w:name w:val="Comment Subject Char"/>
    <w:qFormat/>
    <w:rPr>
      <w:rFonts w:eastAsia="Times New Roman" w:cs="Arial"/>
      <w:b/>
      <w:bCs/>
      <w:sz w:val="20"/>
      <w:szCs w:val="20"/>
    </w:rPr>
  </w:style>
  <w:style w:type="character" w:styleId="ListParagraphChar">
    <w:name w:val="List Paragraph Char"/>
    <w:qFormat/>
    <w:rPr>
      <w:rFonts w:eastAsia="Times New Roman" w:cs="Arial"/>
      <w:szCs w:val="20"/>
    </w:rPr>
  </w:style>
  <w:style w:type="character" w:styleId="IndexLink">
    <w:name w:val="Index Link"/>
    <w:qFormat/>
    <w:rPr/>
  </w:style>
  <w:style w:type="paragraph" w:styleId="Heading">
    <w:name w:val="Heading"/>
    <w:basedOn w:val="Normal"/>
    <w:next w:val="Normal"/>
    <w:qFormat/>
    <w:pPr>
      <w:spacing w:lineRule="auto" w:line="240"/>
      <w:jc w:val="right"/>
    </w:pPr>
    <w:rPr>
      <w:rFonts w:cs="Times New Roman"/>
      <w:b/>
      <w:sz w:val="48"/>
      <w:lang w:val="en-US"/>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spacing w:lineRule="auto" w:line="240" w:before="120" w:after="200"/>
    </w:pPr>
    <w:rPr>
      <w:b/>
      <w:bCs/>
      <w:sz w:val="18"/>
      <w:szCs w:val="18"/>
    </w:rPr>
  </w:style>
  <w:style w:type="paragraph" w:styleId="Index">
    <w:name w:val="Index"/>
    <w:basedOn w:val="Normal"/>
    <w:qFormat/>
    <w:pPr>
      <w:suppressLineNumbers/>
    </w:pPr>
    <w:rPr>
      <w:rFonts w:cs="Noto Sans Devanagari"/>
    </w:rPr>
  </w:style>
  <w:style w:type="paragraph" w:styleId="Contents1">
    <w:name w:val="TOC 1"/>
    <w:basedOn w:val="Normal"/>
    <w:next w:val="Normal"/>
    <w:pPr>
      <w:spacing w:lineRule="auto" w:line="240" w:before="0" w:after="120"/>
      <w:ind w:right="720" w:hanging="0"/>
    </w:pPr>
    <w:rPr>
      <w:rFonts w:ascii="Calibri" w:hAnsi="Calibri" w:cs="Times New Roman"/>
      <w:bCs/>
      <w:szCs w:val="24"/>
      <w:lang w:val="en-US" w:eastAsia="en-US"/>
    </w:rPr>
  </w:style>
  <w:style w:type="paragraph" w:styleId="Contents2">
    <w:name w:val="TOC 2"/>
    <w:basedOn w:val="Normal"/>
    <w:next w:val="Normal"/>
    <w:pPr>
      <w:spacing w:lineRule="auto" w:line="240" w:before="0" w:after="120"/>
      <w:ind w:left="431" w:right="720" w:hanging="0"/>
    </w:pPr>
    <w:rPr>
      <w:rFonts w:ascii="Calibri" w:hAnsi="Calibri" w:cs="Times New Roman"/>
      <w:iCs/>
      <w:szCs w:val="24"/>
      <w:lang w:val="en-US" w:eastAsia="en-US"/>
    </w:rPr>
  </w:style>
  <w:style w:type="paragraph" w:styleId="Contents3">
    <w:name w:val="TOC 3"/>
    <w:basedOn w:val="Normal"/>
    <w:next w:val="Normal"/>
    <w:pPr>
      <w:spacing w:lineRule="auto" w:line="240" w:before="0" w:after="120"/>
      <w:ind w:left="862" w:hanging="0"/>
    </w:pPr>
    <w:rPr>
      <w:rFonts w:ascii="Calibri" w:hAnsi="Calibri" w:cs="Times New Roman"/>
      <w:szCs w:val="24"/>
      <w:lang w:val="en-US" w:eastAsia="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widowControl/>
      <w:spacing w:lineRule="auto" w:line="240"/>
      <w:jc w:val="center"/>
    </w:pPr>
    <w:rPr>
      <w:rFonts w:cs="Times New Roman"/>
      <w:sz w:val="18"/>
      <w:szCs w:val="18"/>
      <w:lang w:val="en-US"/>
    </w:rPr>
  </w:style>
  <w:style w:type="paragraph" w:styleId="Bullet1">
    <w:name w:val="Bullet1"/>
    <w:basedOn w:val="Normal"/>
    <w:qFormat/>
    <w:pPr>
      <w:numPr>
        <w:ilvl w:val="0"/>
        <w:numId w:val="3"/>
      </w:numPr>
      <w:spacing w:before="0" w:after="200"/>
      <w:contextualSpacing/>
    </w:pPr>
    <w:rPr/>
  </w:style>
  <w:style w:type="paragraph" w:styleId="Bullet2">
    <w:name w:val="Bullet2"/>
    <w:basedOn w:val="Normal"/>
    <w:qFormat/>
    <w:pPr>
      <w:numPr>
        <w:ilvl w:val="0"/>
        <w:numId w:val="8"/>
      </w:numPr>
      <w:spacing w:before="0" w:after="200"/>
      <w:contextualSpacing/>
    </w:pPr>
    <w:rPr>
      <w:color w:val="000000"/>
    </w:rPr>
  </w:style>
  <w:style w:type="paragraph" w:styleId="Tableheader">
    <w:name w:val="Tableheader"/>
    <w:basedOn w:val="Caption"/>
    <w:qFormat/>
    <w:pPr>
      <w:keepNext w:val="true"/>
      <w:spacing w:lineRule="auto" w:line="276" w:before="40" w:after="40"/>
    </w:pPr>
    <w:rPr>
      <w:rFonts w:ascii="Calibri" w:hAnsi="Calibri" w:cs="Calibri"/>
      <w:sz w:val="22"/>
    </w:rPr>
  </w:style>
  <w:style w:type="paragraph" w:styleId="Bullet">
    <w:name w:val="Bullet"/>
    <w:basedOn w:val="Normal"/>
    <w:qFormat/>
    <w:pPr>
      <w:widowControl/>
      <w:numPr>
        <w:ilvl w:val="0"/>
        <w:numId w:val="5"/>
      </w:numPr>
      <w:tabs>
        <w:tab w:val="left" w:pos="720" w:leader="none"/>
      </w:tabs>
      <w:spacing w:before="0" w:after="200"/>
      <w:ind w:left="714" w:right="357" w:hanging="357"/>
      <w:contextualSpacing/>
    </w:pPr>
    <w:rPr>
      <w:rFonts w:ascii="Calibri" w:hAnsi="Calibri" w:cs="Calibri"/>
    </w:rPr>
  </w:style>
  <w:style w:type="paragraph" w:styleId="WWHeading">
    <w:name w:val="WW-Heading"/>
    <w:basedOn w:val="Normal"/>
    <w:qFormat/>
    <w:pPr>
      <w:keepNext w:val="true"/>
      <w:spacing w:lineRule="auto" w:line="240" w:before="120" w:after="240"/>
      <w:ind w:left="720" w:hanging="0"/>
      <w:jc w:val="center"/>
    </w:pPr>
    <w:rPr>
      <w:b/>
      <w:color w:val="000000"/>
      <w:sz w:val="36"/>
    </w:rPr>
  </w:style>
  <w:style w:type="paragraph" w:styleId="Header">
    <w:name w:val="Header"/>
    <w:basedOn w:val="Normal"/>
    <w:pPr>
      <w:spacing w:lineRule="auto" w:line="240" w:before="0" w:after="0"/>
    </w:pPr>
    <w:rPr>
      <w:rFonts w:cs="Times New Roman"/>
      <w:b/>
      <w:sz w:val="32"/>
      <w:lang w:val="en-US"/>
    </w:rPr>
  </w:style>
  <w:style w:type="paragraph" w:styleId="BalloonText">
    <w:name w:val="Balloon Text"/>
    <w:basedOn w:val="Normal"/>
    <w:qFormat/>
    <w:pPr>
      <w:spacing w:lineRule="auto" w:line="240" w:before="0" w:after="0"/>
    </w:pPr>
    <w:rPr>
      <w:rFonts w:ascii="Tahoma" w:hAnsi="Tahoma" w:cs="Times New Roman"/>
      <w:sz w:val="16"/>
      <w:szCs w:val="16"/>
      <w:lang w:val="en-US"/>
    </w:rPr>
  </w:style>
  <w:style w:type="paragraph" w:styleId="Subtitle">
    <w:name w:val="Subtitle"/>
    <w:basedOn w:val="Normal"/>
    <w:next w:val="Normal"/>
    <w:qFormat/>
    <w:pPr/>
    <w:rPr>
      <w:rFonts w:cs="Times New Roman"/>
      <w:i/>
      <w:iCs/>
      <w:spacing w:val="15"/>
      <w:sz w:val="24"/>
      <w:szCs w:val="24"/>
      <w:lang w:val="en-US"/>
    </w:rPr>
  </w:style>
  <w:style w:type="paragraph" w:styleId="IntenseQuote">
    <w:name w:val="Intense Quote"/>
    <w:basedOn w:val="Normal"/>
    <w:next w:val="Normal"/>
    <w:qFormat/>
    <w:pPr>
      <w:pBdr>
        <w:bottom w:val="single" w:sz="4" w:space="4" w:color="4F81BD"/>
      </w:pBdr>
      <w:spacing w:before="200" w:after="280"/>
      <w:ind w:left="936" w:right="936" w:hanging="0"/>
    </w:pPr>
    <w:rPr>
      <w:rFonts w:cs="Times New Roman"/>
      <w:b/>
      <w:bCs/>
      <w:i/>
      <w:iCs/>
      <w:sz w:val="20"/>
      <w:lang w:val="en-US"/>
    </w:rPr>
  </w:style>
  <w:style w:type="paragraph" w:styleId="Tabletext">
    <w:name w:val="Tabletext"/>
    <w:basedOn w:val="Tableheader"/>
    <w:qFormat/>
    <w:pPr>
      <w:keepNext w:val="false"/>
    </w:pPr>
    <w:rPr>
      <w:b w:val="false"/>
    </w:rPr>
  </w:style>
  <w:style w:type="paragraph" w:styleId="TableofFigures">
    <w:name w:val="Table of Figures"/>
    <w:basedOn w:val="Normal"/>
    <w:next w:val="Normal"/>
    <w:qFormat/>
    <w:pPr>
      <w:spacing w:lineRule="auto" w:line="240" w:before="0" w:after="120"/>
      <w:ind w:right="726" w:hanging="0"/>
    </w:pPr>
    <w:rPr>
      <w:lang w:val="en-US" w:eastAsia="en-US"/>
    </w:rPr>
  </w:style>
  <w:style w:type="paragraph" w:styleId="ListParagraph">
    <w:name w:val="List Paragraph"/>
    <w:basedOn w:val="Normal"/>
    <w:qFormat/>
    <w:pPr>
      <w:spacing w:before="0" w:after="200"/>
      <w:ind w:left="720" w:hanging="0"/>
      <w:contextualSpacing/>
    </w:pPr>
    <w:rPr>
      <w:rFonts w:cs="Times New Roman"/>
      <w:sz w:val="20"/>
      <w:lang w:val="en-US"/>
    </w:rPr>
  </w:style>
  <w:style w:type="paragraph" w:styleId="TOCHeading">
    <w:name w:val="TOC Heading"/>
    <w:basedOn w:val="Heading1"/>
    <w:next w:val="Normal"/>
    <w:qFormat/>
    <w:pPr>
      <w:keepLines/>
      <w:widowControl/>
      <w:numPr>
        <w:ilvl w:val="0"/>
        <w:numId w:val="0"/>
      </w:numPr>
      <w:spacing w:before="480" w:after="0"/>
      <w:ind w:hanging="0"/>
    </w:pPr>
    <w:rPr>
      <w:rFonts w:ascii="Cambria" w:hAnsi="Cambria" w:eastAsia="Times New Roman" w:cs="Times New Roman"/>
      <w:bCs/>
      <w:color w:val="365F91"/>
      <w:szCs w:val="28"/>
      <w:lang w:eastAsia="ja-JP"/>
    </w:rPr>
  </w:style>
  <w:style w:type="paragraph" w:styleId="CommentText">
    <w:name w:val="Comment Text"/>
    <w:basedOn w:val="Normal"/>
    <w:qFormat/>
    <w:pPr>
      <w:spacing w:lineRule="auto" w:line="240"/>
    </w:pPr>
    <w:rPr>
      <w:rFonts w:cs="Times New Roman"/>
      <w:sz w:val="20"/>
      <w:lang w:val="en-US"/>
    </w:rPr>
  </w:style>
  <w:style w:type="paragraph" w:styleId="Default">
    <w:name w:val="Default"/>
    <w:qFormat/>
    <w:pPr>
      <w:widowControl/>
      <w:autoSpaceDE w:val="false"/>
      <w:bidi w:val="0"/>
    </w:pPr>
    <w:rPr>
      <w:rFonts w:ascii="Calibri" w:hAnsi="Calibri" w:eastAsia="Calibri" w:cs="Calibri"/>
      <w:color w:val="000000"/>
      <w:sz w:val="24"/>
      <w:szCs w:val="24"/>
      <w:lang w:val="en-GB" w:bidi="ar-SA" w:eastAsia="zh-CN"/>
    </w:rPr>
  </w:style>
  <w:style w:type="paragraph" w:styleId="RequirementLevel1">
    <w:name w:val="Requirement Level 1"/>
    <w:basedOn w:val="Normal"/>
    <w:qFormat/>
    <w:pPr>
      <w:widowControl/>
      <w:spacing w:lineRule="auto" w:line="240" w:before="0" w:after="0"/>
    </w:pPr>
    <w:rPr>
      <w:rFonts w:ascii="Segoe UI" w:hAnsi="Segoe UI" w:eastAsia="Calibri" w:cs="Times New Roman"/>
      <w:b/>
      <w:color w:val="948A54"/>
      <w:sz w:val="28"/>
      <w:lang w:val="en-US"/>
    </w:rPr>
  </w:style>
  <w:style w:type="paragraph" w:styleId="RequirementLevel2">
    <w:name w:val="Requirement Level 2"/>
    <w:basedOn w:val="Normal"/>
    <w:qFormat/>
    <w:pPr>
      <w:widowControl/>
      <w:spacing w:lineRule="auto" w:line="240" w:before="0" w:after="0"/>
    </w:pPr>
    <w:rPr>
      <w:rFonts w:ascii="Segoe UI" w:hAnsi="Segoe UI" w:eastAsia="Calibri" w:cs="Times New Roman"/>
      <w:b/>
      <w:color w:val="365F91"/>
      <w:sz w:val="28"/>
      <w:lang w:val="en-US"/>
    </w:rPr>
  </w:style>
  <w:style w:type="paragraph" w:styleId="NoSpacing">
    <w:name w:val="No Spacing"/>
    <w:qFormat/>
    <w:pPr>
      <w:widowControl w:val="false"/>
      <w:bidi w:val="0"/>
    </w:pPr>
    <w:rPr>
      <w:rFonts w:ascii="Calibri" w:hAnsi="Calibri" w:eastAsia="Times New Roman" w:cs="Arial"/>
      <w:color w:val="auto"/>
      <w:sz w:val="16"/>
      <w:szCs w:val="20"/>
      <w:lang w:val="en-GB" w:bidi="ar-SA"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Calibri" w:hAnsi="Calibri" w:eastAsia="Times New Roman" w:cs="Arial"/>
      <w:color w:val="auto"/>
      <w:sz w:val="22"/>
      <w:szCs w:val="20"/>
      <w:lang w:val="en-GB" w:bidi="ar-SA" w:eastAsia="zh-CN"/>
    </w:rPr>
  </w:style>
  <w:style w:type="paragraph" w:styleId="Green">
    <w:name w:val="Green"/>
    <w:basedOn w:val="Normal"/>
    <w:qFormat/>
    <w:pPr/>
    <w:rPr>
      <w:i/>
      <w:color w:val="4F622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532</TotalTime>
  <Application>LibreOffice/6.4.4.2$Linux_X86_64 LibreOffice_project/3d775be2011f3886db32dfd395a6a6d1ca2630ff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2018-08-24T14:45:00Z</dcterms:created>
  <dc:creator>Andrew James</dc:creator>
  <dc:description/>
  <cp:keywords/>
  <dc:language>en-US</dc:language>
  <cp:lastModifiedBy>Taher Khan </cp:lastModifiedBy>
  <cp:lastPrinted>2017-07-20T11:49:00Z</cp:lastPrinted>
  <dcterms:modified xsi:type="dcterms:W3CDTF">2020-02-28T16:32:00Z</dcterms:modified>
  <cp:revision>73</cp:revision>
  <dc:subject/>
  <dc:title>EMVS Hardware and Standard Software Record – NBS – Prod Environment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0x010100D723DFAEA7C49E49847E9968692BED0300F751CE7D30CCE84DB7AC3E40E575F109</vt:lpwstr>
  </property>
  <property fmtid="{D5CDD505-2E9C-101B-9397-08002B2CF9AE}" pid="3" name="DocTitle">
    <vt:lpwstr>Template-SOP</vt:lpwstr>
  </property>
  <property fmtid="{D5CDD505-2E9C-101B-9397-08002B2CF9AE}" pid="4" name="Document ID">
    <vt:lpwstr>EMVS1602</vt:lpwstr>
  </property>
  <property fmtid="{D5CDD505-2E9C-101B-9397-08002B2CF9AE}" pid="5" name="TaxCatchAll">
    <vt:lpwstr/>
  </property>
  <property fmtid="{D5CDD505-2E9C-101B-9397-08002B2CF9AE}" pid="6" name="TaxKeyword">
    <vt:lpwstr/>
  </property>
  <property fmtid="{D5CDD505-2E9C-101B-9397-08002B2CF9AE}" pid="7" name="TaxKeywordTaxHTField">
    <vt:lpwstr/>
  </property>
</Properties>
</file>