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eastAsia="Times New Roman" w:cs="Times New Roman"/>
          <w:b/>
          <w:i w:val="0"/>
          <w:sz w:val="24"/>
        </w:rPr>
        <w:t>Institut Supérieur d'Informatique et de Multimédia de Gabès (ISIMG)</w:t>
      </w:r>
    </w:p>
    <w:p>
      <w:pPr>
        <w:spacing w:line="276" w:lineRule="auto" w:after="360"/>
        <w:jc w:val="center"/>
      </w:pPr>
      <w:r>
        <w:rPr>
          <w:rFonts w:ascii="Times New Roman" w:hAnsi="Times New Roman" w:eastAsia="Times New Roman" w:cs="Times New Roman"/>
          <w:b w:val="0"/>
          <w:i w:val="0"/>
          <w:sz w:val="24"/>
        </w:rPr>
        <w:t>Université de Gabès</w:t>
      </w:r>
    </w:p>
    <w:tbl>
      <w:tblPr>
        <w:tblW w:type="auto" w:w="0"/>
        <w:jc w:val="center"/>
        <w:tblLayout w:type="fixed"/>
        <w:tblLook w:firstColumn="1" w:firstRow="1" w:lastColumn="0" w:lastRow="0" w:noHBand="0" w:noVBand="1" w:val="04A0"/>
      </w:tblPr>
      <w:tblGrid>
        <w:gridCol w:w="4394"/>
        <w:gridCol w:w="4394"/>
      </w:tblGrid>
      <w:tr>
        <w:tc>
          <w:tcPr>
            <w:tcW w:type="dxa" w:w="4252"/>
            <w:shd w:val="clear" w:color="auto" w:fill="F2F2F2"/>
          </w:tcPr>
          <w:p>
            <w:pPr>
              <w:spacing w:line="240" w:lineRule="auto" w:before="800" w:after="800"/>
              <w:jc w:val="center"/>
            </w:pPr>
            <w:r>
              <w:rPr>
                <w:rFonts w:ascii="Times New Roman" w:hAnsi="Times New Roman" w:eastAsia="Times New Roman" w:cs="Times New Roman"/>
                <w:b w:val="0"/>
                <w:i/>
                <w:sz w:val="18"/>
              </w:rPr>
              <w:t>Emplacement du logo ISIMG</w:t>
              <w:br/>
              <w:t>(à insérer)</w:t>
            </w:r>
          </w:p>
        </w:tc>
        <w:tc>
          <w:tcPr>
            <w:tcW w:type="dxa" w:w="4252"/>
            <w:shd w:val="clear" w:color="auto" w:fill="F2F2F2"/>
          </w:tcPr>
          <w:p>
            <w:pPr>
              <w:spacing w:line="240" w:lineRule="auto" w:before="800" w:after="800"/>
              <w:jc w:val="center"/>
            </w:pPr>
            <w:r>
              <w:rPr>
                <w:rFonts w:ascii="Times New Roman" w:hAnsi="Times New Roman" w:eastAsia="Times New Roman" w:cs="Times New Roman"/>
                <w:b w:val="0"/>
                <w:i/>
                <w:sz w:val="18"/>
              </w:rPr>
              <w:t>Emplacement du logo VERMEG</w:t>
              <w:br/>
              <w:t>(à insérer)</w:t>
            </w:r>
          </w:p>
        </w:tc>
      </w:tr>
    </w:tbl>
    <w:p>
      <w:pPr>
        <w:spacing w:after="280"/>
      </w:pPr>
    </w:p>
    <w:p>
      <w:pPr>
        <w:spacing w:line="276" w:lineRule="auto" w:after="200"/>
        <w:jc w:val="center"/>
      </w:pPr>
      <w:r>
        <w:rPr>
          <w:rFonts w:ascii="Times New Roman" w:hAnsi="Times New Roman" w:eastAsia="Times New Roman" w:cs="Times New Roman"/>
          <w:b/>
          <w:i w:val="0"/>
          <w:sz w:val="32"/>
        </w:rPr>
        <w:t>RAPPORT DE STAGE TECHNICIEN</w:t>
      </w:r>
    </w:p>
    <w:p>
      <w:pPr>
        <w:spacing w:line="276" w:lineRule="auto" w:after="560"/>
        <w:jc w:val="center"/>
      </w:pPr>
      <w:r>
        <w:rPr>
          <w:rFonts w:ascii="Times New Roman" w:hAnsi="Times New Roman" w:eastAsia="Times New Roman" w:cs="Times New Roman"/>
          <w:b/>
          <w:i w:val="0"/>
          <w:sz w:val="28"/>
        </w:rPr>
        <w:t>Conception et réalisation d'une mini-API REST de gestion d'assurance</w:t>
      </w:r>
    </w:p>
    <w:p>
      <w:pPr>
        <w:spacing w:after="100" w:line="276" w:lineRule="auto"/>
        <w:jc w:val="center"/>
      </w:pPr>
      <w:r>
        <w:rPr>
          <w:rFonts w:ascii="Times New Roman" w:hAnsi="Times New Roman" w:eastAsia="Times New Roman" w:cs="Times New Roman"/>
          <w:b/>
          <w:i w:val="0"/>
        </w:rPr>
        <w:t>Réalisé par :</w:t>
      </w:r>
      <w:r>
        <w:rPr>
          <w:rFonts w:ascii="Times New Roman" w:hAnsi="Times New Roman" w:eastAsia="Times New Roman" w:cs="Times New Roman"/>
          <w:b w:val="0"/>
          <w:i w:val="0"/>
        </w:rPr>
        <w:t xml:space="preserve"> Taher Yahia</w:t>
      </w:r>
    </w:p>
    <w:p>
      <w:pPr>
        <w:spacing w:after="100" w:line="276" w:lineRule="auto"/>
        <w:jc w:val="center"/>
      </w:pPr>
      <w:r>
        <w:rPr>
          <w:rFonts w:ascii="Times New Roman" w:hAnsi="Times New Roman" w:eastAsia="Times New Roman" w:cs="Times New Roman"/>
          <w:b/>
          <w:i w:val="0"/>
        </w:rPr>
        <w:t>Formation :</w:t>
      </w:r>
      <w:r>
        <w:rPr>
          <w:rFonts w:ascii="Times New Roman" w:hAnsi="Times New Roman" w:eastAsia="Times New Roman" w:cs="Times New Roman"/>
          <w:b w:val="0"/>
          <w:i w:val="0"/>
        </w:rPr>
        <w:t xml:space="preserve"> génie logiciel, FGL1 au moment du stage</w:t>
      </w:r>
    </w:p>
    <w:p>
      <w:pPr>
        <w:spacing w:after="100" w:line="276" w:lineRule="auto"/>
        <w:jc w:val="center"/>
      </w:pPr>
      <w:r>
        <w:rPr>
          <w:rFonts w:ascii="Times New Roman" w:hAnsi="Times New Roman" w:eastAsia="Times New Roman" w:cs="Times New Roman"/>
          <w:b/>
          <w:i w:val="0"/>
        </w:rPr>
        <w:t>Organisme d'accueil :</w:t>
      </w:r>
      <w:r>
        <w:rPr>
          <w:rFonts w:ascii="Times New Roman" w:hAnsi="Times New Roman" w:eastAsia="Times New Roman" w:cs="Times New Roman"/>
          <w:b w:val="0"/>
          <w:i w:val="0"/>
        </w:rPr>
        <w:t xml:space="preserve"> VERMEG</w:t>
      </w:r>
    </w:p>
    <w:p>
      <w:pPr>
        <w:spacing w:after="100" w:line="276" w:lineRule="auto"/>
        <w:jc w:val="center"/>
      </w:pPr>
      <w:r>
        <w:rPr>
          <w:rFonts w:ascii="Times New Roman" w:hAnsi="Times New Roman" w:eastAsia="Times New Roman" w:cs="Times New Roman"/>
          <w:b/>
          <w:i w:val="0"/>
        </w:rPr>
        <w:t>Encadrante en entreprise :</w:t>
      </w:r>
      <w:r>
        <w:rPr>
          <w:rFonts w:ascii="Times New Roman" w:hAnsi="Times New Roman" w:eastAsia="Times New Roman" w:cs="Times New Roman"/>
          <w:b w:val="0"/>
          <w:i w:val="0"/>
        </w:rPr>
        <w:t xml:space="preserve"> Mme Faten Kardous</w:t>
      </w:r>
    </w:p>
    <w:p>
      <w:pPr>
        <w:spacing w:after="100" w:line="276" w:lineRule="auto"/>
        <w:jc w:val="center"/>
      </w:pPr>
      <w:r>
        <w:rPr>
          <w:rFonts w:ascii="Times New Roman" w:hAnsi="Times New Roman" w:eastAsia="Times New Roman" w:cs="Times New Roman"/>
          <w:b/>
          <w:i w:val="0"/>
        </w:rPr>
        <w:t>Période de stage :</w:t>
      </w:r>
      <w:r>
        <w:rPr>
          <w:rFonts w:ascii="Times New Roman" w:hAnsi="Times New Roman" w:eastAsia="Times New Roman" w:cs="Times New Roman"/>
          <w:b w:val="0"/>
          <w:i w:val="0"/>
        </w:rPr>
        <w:t xml:space="preserve"> du 1er au 31 juillet 2026</w:t>
      </w:r>
    </w:p>
    <w:p>
      <w:pPr>
        <w:spacing w:after="100" w:line="276" w:lineRule="auto"/>
        <w:jc w:val="center"/>
      </w:pPr>
      <w:r>
        <w:rPr>
          <w:rFonts w:ascii="Times New Roman" w:hAnsi="Times New Roman" w:eastAsia="Times New Roman" w:cs="Times New Roman"/>
          <w:b/>
          <w:i w:val="0"/>
        </w:rPr>
        <w:t>Année universitaire :</w:t>
      </w:r>
      <w:r>
        <w:rPr>
          <w:rFonts w:ascii="Times New Roman" w:hAnsi="Times New Roman" w:eastAsia="Times New Roman" w:cs="Times New Roman"/>
          <w:b w:val="0"/>
          <w:i w:val="0"/>
        </w:rPr>
        <w:t xml:space="preserve"> 2025/2026</w:t>
      </w:r>
    </w:p>
    <w:p>
      <w:pPr>
        <w:spacing w:line="276" w:lineRule="auto" w:after="0"/>
        <w:jc w:val="center"/>
      </w:pPr>
      <w:r>
        <w:rPr>
          <w:rFonts w:ascii="Times New Roman" w:hAnsi="Times New Roman" w:eastAsia="Times New Roman" w:cs="Times New Roman"/>
          <w:b w:val="0"/>
          <w:i/>
          <w:sz w:val="20"/>
        </w:rPr>
        <w:t>Version 1 — projet de rapport (octobre 2026)</w:t>
      </w:r>
    </w:p>
    <w:p>
      <w:r>
        <w:br w:type="page"/>
      </w:r>
    </w:p>
    <w:p>
      <w:pPr>
        <w:jc w:val="left"/>
      </w:pPr>
      <w:r>
        <w:rPr>
          <w:rFonts w:ascii="Times New Roman" w:hAnsi="Times New Roman" w:eastAsia="Times New Roman" w:cs="Times New Roman"/>
          <w:b/>
          <w:i w:val="0"/>
          <w:sz w:val="28"/>
        </w:rPr>
        <w:t>Sommaire</w:t>
      </w:r>
    </w:p>
    <w:p>
      <w:pPr>
        <w:spacing w:line="276" w:lineRule="auto"/>
      </w:pPr>
      <w:r>
        <w:fldChar w:fldCharType="begin"/>
      </w:r>
      <w:r>
        <w:instrText xml:space="preserve"> TOC \o "1-2" \h \z \u </w:instrText>
      </w:r>
      <w:r>
        <w:fldChar w:fldCharType="separate"/>
      </w:r>
      <w:r>
        <w:rPr>
          <w:rFonts w:ascii="Times New Roman" w:hAnsi="Times New Roman" w:eastAsia="Times New Roman" w:cs="Times New Roman"/>
          <w:b w:val="0"/>
          <w:i w:val="0"/>
        </w:rPr>
        <w:t>Sommaire à actualiser : clic droit sur la table, puis Mettre à jour les champs.</w:t>
      </w:r>
      <w:r>
        <w:fldChar w:fldCharType="end"/>
      </w:r>
    </w:p>
    <w:p>
      <w:pPr>
        <w:spacing w:before="360"/>
      </w:pPr>
      <w:r>
        <w:rPr>
          <w:rFonts w:ascii="Times New Roman" w:hAnsi="Times New Roman" w:eastAsia="Times New Roman" w:cs="Times New Roman"/>
          <w:b/>
          <w:i w:val="0"/>
          <w:sz w:val="28"/>
        </w:rPr>
        <w:t>Liste des figures</w:t>
      </w:r>
    </w:p>
    <w:p>
      <w:pPr>
        <w:spacing w:line="276" w:lineRule="auto"/>
      </w:pPr>
      <w:r>
        <w:fldChar w:fldCharType="begin"/>
      </w:r>
      <w:r>
        <w:instrText xml:space="preserve"> TOC \h \z \c "Figure" </w:instrText>
      </w:r>
      <w:r>
        <w:fldChar w:fldCharType="separate"/>
      </w:r>
      <w:r>
        <w:rPr>
          <w:rFonts w:ascii="Times New Roman" w:hAnsi="Times New Roman" w:eastAsia="Times New Roman" w:cs="Times New Roman"/>
          <w:b w:val="0"/>
          <w:i w:val="0"/>
        </w:rPr>
        <w:t>Liste à actualiser (Mettre à jour les champs).</w:t>
      </w:r>
      <w:r>
        <w:fldChar w:fldCharType="end"/>
      </w:r>
    </w:p>
    <w:p>
      <w:pPr>
        <w:spacing w:before="360"/>
      </w:pPr>
      <w:r>
        <w:rPr>
          <w:rFonts w:ascii="Times New Roman" w:hAnsi="Times New Roman" w:eastAsia="Times New Roman" w:cs="Times New Roman"/>
          <w:b/>
          <w:i w:val="0"/>
          <w:sz w:val="28"/>
        </w:rPr>
        <w:t>Liste des tableaux</w:t>
      </w:r>
    </w:p>
    <w:p>
      <w:pPr>
        <w:spacing w:line="276" w:lineRule="auto"/>
      </w:pPr>
      <w:r>
        <w:fldChar w:fldCharType="begin"/>
      </w:r>
      <w:r>
        <w:instrText xml:space="preserve"> TOC \h \z \c "Tableau" </w:instrText>
      </w:r>
      <w:r>
        <w:fldChar w:fldCharType="separate"/>
      </w:r>
      <w:r>
        <w:rPr>
          <w:rFonts w:ascii="Times New Roman" w:hAnsi="Times New Roman" w:eastAsia="Times New Roman" w:cs="Times New Roman"/>
          <w:b w:val="0"/>
          <w:i w:val="0"/>
        </w:rPr>
        <w:t>Liste à actualiser (Mettre à jour les champs).</w:t>
      </w:r>
      <w:r>
        <w:fldChar w:fldCharType="end"/>
      </w:r>
    </w:p>
    <w:p>
      <w:r>
        <w:br w:type="page"/>
      </w:r>
    </w:p>
    <w:p>
      <w:pPr>
        <w:pStyle w:val="Heading1"/>
      </w:pPr>
      <w:r>
        <w:t>1. Introduction générale</w:t>
      </w:r>
    </w:p>
    <w:p>
      <w:r>
        <w:rPr>
          <w:rFonts w:ascii="Times New Roman" w:hAnsi="Times New Roman" w:eastAsia="Times New Roman" w:cs="Times New Roman"/>
          <w:b w:val="0"/>
          <w:i w:val="0"/>
        </w:rPr>
        <w:t>Ce rapport présente le stage technicien que j'ai effectué chez VERMEG du 1er au 31 juillet 2026. Il s'inscrit dans ma formation en génie logiciel à l'Institut Supérieur d'Informatique et de Multimédia de Gabès (ISIMG) : j'étais alors inscrit en FGL1 (désignation à confirmer selon le guide). Le stage a été encadré en entreprise par Mme Faten Kardous.</w:t>
      </w:r>
    </w:p>
    <w:p>
      <w:r>
        <w:rPr>
          <w:rFonts w:ascii="Times New Roman" w:hAnsi="Times New Roman" w:eastAsia="Times New Roman" w:cs="Times New Roman"/>
          <w:b w:val="0"/>
          <w:i w:val="0"/>
        </w:rPr>
        <w:t>Le sujet consistait à concevoir et réaliser une mini-API REST de gestion d'assurance. L'application gère trois types d'objets : les clients, les contrats d'assurance et les sinistres déclarés sur un contrat. Le travail a porté sur le service serveur : modèle de données, interface REST, authentification par jetons, règles métier, documentation et conteneurisation. Une interface web Angular a également été développée au cours du stage pour consommer cette API.</w:t>
      </w:r>
    </w:p>
    <w:p>
      <w:r>
        <w:rPr>
          <w:rFonts w:ascii="Times New Roman" w:hAnsi="Times New Roman" w:eastAsia="Times New Roman" w:cs="Times New Roman"/>
          <w:b w:val="0"/>
          <w:i w:val="0"/>
        </w:rPr>
        <w:t>La question technique qui guide le rapport est la suivante : comment exposer, de façon sécurisée et cohérente, les opérations de gestion d'un portefeuille d'assurance, en faisant respecter les règles métier par le serveur plutôt que par le client ?</w:t>
      </w:r>
    </w:p>
    <w:p>
      <w:r>
        <w:rPr>
          <w:rFonts w:ascii="Times New Roman" w:hAnsi="Times New Roman" w:eastAsia="Times New Roman" w:cs="Times New Roman"/>
          <w:b w:val="0"/>
          <w:i w:val="0"/>
        </w:rPr>
        <w:t>Le chapitre 2 présente VERMEG et le cadre du stage, le chapitre 3 la conception, le chapitre 4 la réalisation et les vérifications, le chapitre 5 les limites et le chapitre 6 le bilan. Le rapport distingue ce qui est constaté dans le dépôt de ce qui reste à confirmer.</w:t>
      </w:r>
    </w:p>
    <w:p>
      <w:pPr>
        <w:pStyle w:val="Heading1"/>
      </w:pPr>
      <w:r>
        <w:t>2. Présentation de VERMEG et contexte du stage</w:t>
      </w:r>
    </w:p>
    <w:p>
      <w:pPr>
        <w:pStyle w:val="Heading2"/>
      </w:pPr>
      <w:r>
        <w:t>2.1 VERMEG</w:t>
      </w:r>
    </w:p>
    <w:p>
      <w:r>
        <w:rPr>
          <w:rFonts w:ascii="Times New Roman" w:hAnsi="Times New Roman" w:eastAsia="Times New Roman" w:cs="Times New Roman"/>
          <w:b w:val="0"/>
          <w:i w:val="0"/>
        </w:rPr>
        <w:t>VERMEG est un éditeur de solutions logicielles pour le secteur financier. Un communiqué de Nordic Capital publié en novembre 2024 indique que l'entreprise a été fondée en 1993, qu'elle a son siège à Amsterdam et qu'elle fournit des solutions aux secteurs de la banque, de l'assurance et de la gestion de patrimoine [1]. Deux profils d'entreprise publics indiquent la même date de fondation et le même siège [2], [3]. Ces sources ne sont pas des documents officiels de VERMEG : l'organisation interne et les produits de l'entreprise ne sont pas décrits ici, faute de source officielle consultée.</w:t>
      </w:r>
    </w:p>
    <w:p>
      <w:pPr>
        <w:pStyle w:val="Heading2"/>
      </w:pPr>
      <w:r>
        <w:t>2.2 Cadre du stage</w:t>
      </w:r>
    </w:p>
    <w:p>
      <w:r>
        <w:rPr>
          <w:rFonts w:ascii="Times New Roman" w:hAnsi="Times New Roman" w:eastAsia="Times New Roman" w:cs="Times New Roman"/>
          <w:b w:val="0"/>
          <w:i w:val="0"/>
        </w:rPr>
        <w:t>Le stage s'est déroulé du 1er au 31 juillet 2026 inclus, sous la forme d'un stage technicien [à confirmer selon le guide]. Pendant la première semaine, j'ai installé et configuré l'environnement de développement, étudié le contexte du projet et la logique métier de l'assurance, puis réfléchi à la modélisation des données : entités, attributs et relations. Les propositions de modélisation ont été relues avec l'encadrante, puis un modèle a été retenu. La réalisation a suivi ce modèle. Le dépôt GitHub du projet a été créé pendant cette phase, le 6 juillet 2026 [4].</w:t>
      </w:r>
    </w:p>
    <w:p>
      <w:pPr>
        <w:pStyle w:val="Heading2"/>
      </w:pPr>
      <w:r>
        <w:t>2.3 Objectifs</w:t>
      </w:r>
    </w:p>
    <w:p>
      <w:r>
        <w:rPr>
          <w:rFonts w:ascii="Times New Roman" w:hAnsi="Times New Roman" w:eastAsia="Times New Roman" w:cs="Times New Roman"/>
          <w:b w:val="0"/>
          <w:i w:val="0"/>
        </w:rPr>
        <w:t>L'objectif principal était de réaliser un service REST qui gère les clients, les contrats et les sinistres, et dont le serveur garantit la cohérence des données. Les objectifs secondaires étaient de sécuriser l'accès aux ressources par un jeton d'authentification, de documenter l'interface de façon interactive, de rendre l'environnement d'exécution reproductible et de proposer une interface web capable de consommer l'API.</w:t>
      </w:r>
    </w:p>
    <w:p>
      <w:pPr>
        <w:pStyle w:val="Heading2"/>
      </w:pPr>
      <w:r>
        <w:t>2.4 Démarche de travail</w:t>
      </w:r>
    </w:p>
    <w:p>
      <w:r>
        <w:rPr>
          <w:rFonts w:ascii="Times New Roman" w:hAnsi="Times New Roman" w:eastAsia="Times New Roman" w:cs="Times New Roman"/>
          <w:b w:val="0"/>
          <w:i w:val="0"/>
        </w:rPr>
        <w:t>Le développement a été conduit par incréments, chacun enregistré dans un commit distinct. La branche principale comporte 36 commits, du 5 au 30 juillet 2026 ; cet historique est la principale trace de la chronologie du chapitre 4.</w:t>
      </w:r>
    </w:p>
    <w:p>
      <w:pPr>
        <w:pStyle w:val="Heading1"/>
      </w:pPr>
      <w:r>
        <w:t>3. Étude du besoin et conception</w:t>
      </w:r>
    </w:p>
    <w:p>
      <w:pPr>
        <w:pStyle w:val="Heading2"/>
      </w:pPr>
      <w:r>
        <w:t>3.1 Contexte métier</w:t>
      </w:r>
    </w:p>
    <w:p>
      <w:r>
        <w:rPr>
          <w:rFonts w:ascii="Times New Roman" w:hAnsi="Times New Roman" w:eastAsia="Times New Roman" w:cs="Times New Roman"/>
          <w:b w:val="0"/>
          <w:i w:val="0"/>
        </w:rPr>
        <w:t xml:space="preserve">Un système d'assurance manipule trois notions liées. Un </w:t>
      </w:r>
      <w:r>
        <w:rPr>
          <w:rFonts w:ascii="Times New Roman" w:hAnsi="Times New Roman" w:eastAsia="Times New Roman" w:cs="Times New Roman"/>
          <w:b/>
          <w:i w:val="0"/>
        </w:rPr>
        <w:t>client</w:t>
      </w:r>
      <w:r>
        <w:rPr>
          <w:rFonts w:ascii="Times New Roman" w:hAnsi="Times New Roman" w:eastAsia="Times New Roman" w:cs="Times New Roman"/>
          <w:b w:val="0"/>
          <w:i w:val="0"/>
        </w:rPr>
        <w:t xml:space="preserve"> est une personne identifiée par son état civil et par un identifiant national, le CIN, que l'application valide sur huit chiffres. Un </w:t>
      </w:r>
      <w:r>
        <w:rPr>
          <w:rFonts w:ascii="Times New Roman" w:hAnsi="Times New Roman" w:eastAsia="Times New Roman" w:cs="Times New Roman"/>
          <w:b/>
          <w:i w:val="0"/>
        </w:rPr>
        <w:t>contrat</w:t>
      </w:r>
      <w:r>
        <w:rPr>
          <w:rFonts w:ascii="Times New Roman" w:hAnsi="Times New Roman" w:eastAsia="Times New Roman" w:cs="Times New Roman"/>
          <w:b w:val="0"/>
          <w:i w:val="0"/>
        </w:rPr>
        <w:t xml:space="preserve"> relie un client à une couverture : il porte un numéro de police, un type (AUTO, HOME, HEALTH ou LIFE), une période de validité, un montant couvert, une prime et un statut (ACTIVE, EXPIRED ou TERMINATED). Un </w:t>
      </w:r>
      <w:r>
        <w:rPr>
          <w:rFonts w:ascii="Times New Roman" w:hAnsi="Times New Roman" w:eastAsia="Times New Roman" w:cs="Times New Roman"/>
          <w:b/>
          <w:i w:val="0"/>
        </w:rPr>
        <w:t>sinistre</w:t>
      </w:r>
      <w:r>
        <w:rPr>
          <w:rFonts w:ascii="Times New Roman" w:hAnsi="Times New Roman" w:eastAsia="Times New Roman" w:cs="Times New Roman"/>
          <w:b w:val="0"/>
          <w:i w:val="0"/>
        </w:rPr>
        <w:t xml:space="preserve"> est un événement dommageable déclaré sur un contrat : il porte un numéro, une description, une date de survenance, une date de déclaration, un montant estimé, un remboursement et un statut.</w:t>
      </w:r>
    </w:p>
    <w:p>
      <w:r>
        <w:rPr>
          <w:rFonts w:ascii="Times New Roman" w:hAnsi="Times New Roman" w:eastAsia="Times New Roman" w:cs="Times New Roman"/>
          <w:b w:val="0"/>
          <w:i w:val="0"/>
        </w:rPr>
        <w:t>Trois invariants structurent le domaine : un sinistre appartient à un contrat, un contrat appartient à un client, et un sinistre ne peut être déclaré que sur un contrat actif, pour une date comprise dans la période de couverture. Le besoin central était que le serveur garantisse ces invariants, indépendamment du client qui l'appelle.</w:t>
      </w:r>
    </w:p>
    <w:p>
      <w:pPr>
        <w:pStyle w:val="Heading2"/>
      </w:pPr>
      <w:r>
        <w:t>3.2 Besoins fonctionnels</w:t>
      </w:r>
    </w:p>
    <w:p>
      <w:pPr>
        <w:keepNext/>
      </w:pPr>
      <w:r>
        <w:rPr>
          <w:rFonts w:ascii="Times New Roman" w:hAnsi="Times New Roman" w:eastAsia="Times New Roman" w:cs="Times New Roman"/>
          <w:b w:val="0"/>
          <w:i w:val="0"/>
        </w:rPr>
        <w:t xml:space="preserve">Le tableau </w:t>
      </w:r>
      <w:r>
        <w:fldChar w:fldCharType="begin"/>
      </w:r>
      <w:r>
        <w:instrText xml:space="preserve"> REF ref_tab_bf \h </w:instrText>
      </w:r>
      <w:r>
        <w:fldChar w:fldCharType="separate"/>
      </w:r>
      <w:r>
        <w:rPr>
          <w:rFonts w:ascii="Times New Roman" w:hAnsi="Times New Roman" w:eastAsia="Times New Roman" w:cs="Times New Roman"/>
          <w:b w:val="0"/>
          <w:i w:val="0"/>
        </w:rPr>
        <w:t>Tableau 1</w:t>
      </w:r>
      <w:r>
        <w:fldChar w:fldCharType="end"/>
      </w:r>
      <w:r>
        <w:rPr>
          <w:rFonts w:ascii="Times New Roman" w:hAnsi="Times New Roman" w:eastAsia="Times New Roman" w:cs="Times New Roman"/>
          <w:b w:val="0"/>
          <w:i w:val="0"/>
        </w:rPr>
        <w:t xml:space="preserve"> recense les besoins fonctionnels et leur état, tel que constaté dans le code source.</w:t>
      </w:r>
    </w:p>
    <w:p>
      <w:pPr>
        <w:pStyle w:val="Caption"/>
        <w:keepNext/>
        <w:jc w:val="left"/>
      </w:pPr>
      <w:bookmarkStart w:id="101" w:name="ref_tab_bf"/>
      <w:r>
        <w:rPr>
          <w:rFonts w:ascii="Times New Roman" w:hAnsi="Times New Roman" w:eastAsia="Times New Roman" w:cs="Times New Roman"/>
          <w:b/>
          <w:i w:val="0"/>
          <w:sz w:val="20"/>
        </w:rPr>
        <w:t xml:space="preserve">Tableau </w:t>
      </w:r>
      <w:r>
        <w:rPr>
          <w:sz w:val="20"/>
        </w:rPr>
        <w:fldChar w:fldCharType="begin"/>
      </w:r>
      <w:r>
        <w:instrText xml:space="preserve"> SEQ Tableau \* ARABIC </w:instrText>
      </w:r>
      <w:r>
        <w:rPr>
          <w:sz w:val="20"/>
        </w:rPr>
        <w:fldChar w:fldCharType="separate"/>
      </w:r>
      <w:r>
        <w:rPr>
          <w:rFonts w:ascii="Times New Roman" w:hAnsi="Times New Roman" w:eastAsia="Times New Roman" w:cs="Times New Roman"/>
          <w:b/>
          <w:i w:val="0"/>
          <w:sz w:val="20"/>
        </w:rPr>
        <w:t>1</w:t>
      </w:r>
      <w:r>
        <w:rPr>
          <w:sz w:val="20"/>
        </w:rPr>
        <w:fldChar w:fldCharType="end"/>
      </w:r>
      <w:bookmarkEnd w:id="101"/>
      <w:r>
        <w:rPr>
          <w:rFonts w:ascii="Times New Roman" w:hAnsi="Times New Roman" w:eastAsia="Times New Roman" w:cs="Times New Roman"/>
          <w:b w:val="0"/>
          <w:i w:val="0"/>
          <w:sz w:val="20"/>
        </w:rPr>
        <w:t xml:space="preserve"> — Besoins fonctionnels et état de réalisation dans le dépôt</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794"/>
            <w:shd w:val="clear" w:color="auto" w:fill="D9D9D9"/>
          </w:tcPr>
          <w:p>
            <w:pPr>
              <w:spacing w:after="0" w:line="240" w:lineRule="auto"/>
              <w:jc w:val="left"/>
            </w:pPr>
            <w:r>
              <w:rPr>
                <w:rFonts w:ascii="Times New Roman" w:hAnsi="Times New Roman" w:eastAsia="Times New Roman" w:cs="Times New Roman"/>
                <w:b/>
                <w:i w:val="0"/>
                <w:sz w:val="20"/>
              </w:rPr>
              <w:t>Réf.</w:t>
            </w:r>
          </w:p>
        </w:tc>
        <w:tc>
          <w:tcPr>
            <w:tcW w:type="dxa" w:w="3742"/>
            <w:shd w:val="clear" w:color="auto" w:fill="D9D9D9"/>
          </w:tcPr>
          <w:p>
            <w:pPr>
              <w:spacing w:after="0" w:line="240" w:lineRule="auto"/>
              <w:jc w:val="left"/>
            </w:pPr>
            <w:r>
              <w:rPr>
                <w:rFonts w:ascii="Times New Roman" w:hAnsi="Times New Roman" w:eastAsia="Times New Roman" w:cs="Times New Roman"/>
                <w:b/>
                <w:i w:val="0"/>
                <w:sz w:val="20"/>
              </w:rPr>
              <w:t>Besoin</w:t>
            </w:r>
          </w:p>
        </w:tc>
        <w:tc>
          <w:tcPr>
            <w:tcW w:type="dxa" w:w="4252"/>
            <w:shd w:val="clear" w:color="auto" w:fill="D9D9D9"/>
          </w:tcPr>
          <w:p>
            <w:pPr>
              <w:spacing w:after="0" w:line="240" w:lineRule="auto"/>
              <w:jc w:val="left"/>
            </w:pPr>
            <w:r>
              <w:rPr>
                <w:rFonts w:ascii="Times New Roman" w:hAnsi="Times New Roman" w:eastAsia="Times New Roman" w:cs="Times New Roman"/>
                <w:b/>
                <w:i w:val="0"/>
                <w:sz w:val="20"/>
              </w:rPr>
              <w:t>État constaté</w:t>
            </w:r>
          </w:p>
        </w:tc>
      </w:tr>
      <w:tr>
        <w:tc>
          <w:tcPr>
            <w:tcW w:type="dxa" w:w="794"/>
          </w:tcPr>
          <w:p>
            <w:pPr>
              <w:spacing w:after="0" w:line="240" w:lineRule="auto"/>
              <w:jc w:val="left"/>
            </w:pPr>
            <w:r>
              <w:rPr>
                <w:rFonts w:ascii="Times New Roman" w:hAnsi="Times New Roman" w:eastAsia="Times New Roman" w:cs="Times New Roman"/>
                <w:b w:val="0"/>
                <w:i w:val="0"/>
                <w:sz w:val="20"/>
              </w:rPr>
              <w:t>BF1</w:t>
            </w:r>
          </w:p>
        </w:tc>
        <w:tc>
          <w:tcPr>
            <w:tcW w:type="dxa" w:w="3742"/>
          </w:tcPr>
          <w:p>
            <w:pPr>
              <w:spacing w:after="0" w:line="240" w:lineRule="auto"/>
              <w:jc w:val="left"/>
            </w:pPr>
            <w:r>
              <w:rPr>
                <w:rFonts w:ascii="Times New Roman" w:hAnsi="Times New Roman" w:eastAsia="Times New Roman" w:cs="Times New Roman"/>
                <w:b w:val="0"/>
                <w:i w:val="0"/>
                <w:sz w:val="20"/>
              </w:rPr>
              <w:t>Créer un compte utilisateur avec un rôle</w:t>
            </w:r>
          </w:p>
        </w:tc>
        <w:tc>
          <w:tcPr>
            <w:tcW w:type="dxa" w:w="4252"/>
          </w:tcPr>
          <w:p>
            <w:pPr>
              <w:spacing w:after="0" w:line="240" w:lineRule="auto"/>
              <w:jc w:val="left"/>
            </w:pPr>
            <w:r>
              <w:rPr>
                <w:rFonts w:ascii="Times New Roman" w:hAnsi="Times New Roman" w:eastAsia="Times New Roman" w:cs="Times New Roman"/>
                <w:b w:val="0"/>
                <w:i w:val="0"/>
                <w:sz w:val="20"/>
              </w:rPr>
              <w:t>Réalisé, par inscription publique (voir 4.3 et 5.2)</w:t>
            </w:r>
          </w:p>
        </w:tc>
      </w:tr>
      <w:tr>
        <w:tc>
          <w:tcPr>
            <w:tcW w:type="dxa" w:w="794"/>
          </w:tcPr>
          <w:p>
            <w:pPr>
              <w:spacing w:after="0" w:line="240" w:lineRule="auto"/>
              <w:jc w:val="left"/>
            </w:pPr>
            <w:r>
              <w:rPr>
                <w:rFonts w:ascii="Times New Roman" w:hAnsi="Times New Roman" w:eastAsia="Times New Roman" w:cs="Times New Roman"/>
                <w:b w:val="0"/>
                <w:i w:val="0"/>
                <w:sz w:val="20"/>
              </w:rPr>
              <w:t>BF2</w:t>
            </w:r>
          </w:p>
        </w:tc>
        <w:tc>
          <w:tcPr>
            <w:tcW w:type="dxa" w:w="3742"/>
          </w:tcPr>
          <w:p>
            <w:pPr>
              <w:spacing w:after="0" w:line="240" w:lineRule="auto"/>
              <w:jc w:val="left"/>
            </w:pPr>
            <w:r>
              <w:rPr>
                <w:rFonts w:ascii="Times New Roman" w:hAnsi="Times New Roman" w:eastAsia="Times New Roman" w:cs="Times New Roman"/>
                <w:b w:val="0"/>
                <w:i w:val="0"/>
                <w:sz w:val="20"/>
              </w:rPr>
              <w:t>S'authentifier et obtenir un jeton d'accès</w:t>
            </w:r>
          </w:p>
        </w:tc>
        <w:tc>
          <w:tcPr>
            <w:tcW w:type="dxa" w:w="4252"/>
          </w:tcPr>
          <w:p>
            <w:pPr>
              <w:spacing w:after="0" w:line="240" w:lineRule="auto"/>
              <w:jc w:val="left"/>
            </w:pPr>
            <w:r>
              <w:rPr>
                <w:rFonts w:ascii="Times New Roman" w:hAnsi="Times New Roman" w:eastAsia="Times New Roman" w:cs="Times New Roman"/>
                <w:b w:val="0"/>
                <w:i w:val="0"/>
                <w:sz w:val="20"/>
              </w:rPr>
              <w:t>Réalisé (jeton valable 24 heures)</w:t>
            </w:r>
          </w:p>
        </w:tc>
      </w:tr>
      <w:tr>
        <w:tc>
          <w:tcPr>
            <w:tcW w:type="dxa" w:w="794"/>
          </w:tcPr>
          <w:p>
            <w:pPr>
              <w:spacing w:after="0" w:line="240" w:lineRule="auto"/>
              <w:jc w:val="left"/>
            </w:pPr>
            <w:r>
              <w:rPr>
                <w:rFonts w:ascii="Times New Roman" w:hAnsi="Times New Roman" w:eastAsia="Times New Roman" w:cs="Times New Roman"/>
                <w:b w:val="0"/>
                <w:i w:val="0"/>
                <w:sz w:val="20"/>
              </w:rPr>
              <w:t>BF3</w:t>
            </w:r>
          </w:p>
        </w:tc>
        <w:tc>
          <w:tcPr>
            <w:tcW w:type="dxa" w:w="3742"/>
          </w:tcPr>
          <w:p>
            <w:pPr>
              <w:spacing w:after="0" w:line="240" w:lineRule="auto"/>
              <w:jc w:val="left"/>
            </w:pPr>
            <w:r>
              <w:rPr>
                <w:rFonts w:ascii="Times New Roman" w:hAnsi="Times New Roman" w:eastAsia="Times New Roman" w:cs="Times New Roman"/>
                <w:b w:val="0"/>
                <w:i w:val="0"/>
                <w:sz w:val="20"/>
              </w:rPr>
              <w:t>Créer, consulter et modifier un client</w:t>
            </w:r>
          </w:p>
        </w:tc>
        <w:tc>
          <w:tcPr>
            <w:tcW w:type="dxa" w:w="4252"/>
          </w:tcPr>
          <w:p>
            <w:pPr>
              <w:spacing w:after="0" w:line="240" w:lineRule="auto"/>
              <w:jc w:val="left"/>
            </w:pPr>
            <w:r>
              <w:rPr>
                <w:rFonts w:ascii="Times New Roman" w:hAnsi="Times New Roman" w:eastAsia="Times New Roman" w:cs="Times New Roman"/>
                <w:b w:val="0"/>
                <w:i w:val="0"/>
                <w:sz w:val="20"/>
              </w:rPr>
              <w:t>Réalisé</w:t>
            </w:r>
          </w:p>
        </w:tc>
      </w:tr>
      <w:tr>
        <w:tc>
          <w:tcPr>
            <w:tcW w:type="dxa" w:w="794"/>
          </w:tcPr>
          <w:p>
            <w:pPr>
              <w:spacing w:after="0" w:line="240" w:lineRule="auto"/>
              <w:jc w:val="left"/>
            </w:pPr>
            <w:r>
              <w:rPr>
                <w:rFonts w:ascii="Times New Roman" w:hAnsi="Times New Roman" w:eastAsia="Times New Roman" w:cs="Times New Roman"/>
                <w:b w:val="0"/>
                <w:i w:val="0"/>
                <w:sz w:val="20"/>
              </w:rPr>
              <w:t>BF4</w:t>
            </w:r>
          </w:p>
        </w:tc>
        <w:tc>
          <w:tcPr>
            <w:tcW w:type="dxa" w:w="3742"/>
          </w:tcPr>
          <w:p>
            <w:pPr>
              <w:spacing w:after="0" w:line="240" w:lineRule="auto"/>
              <w:jc w:val="left"/>
            </w:pPr>
            <w:r>
              <w:rPr>
                <w:rFonts w:ascii="Times New Roman" w:hAnsi="Times New Roman" w:eastAsia="Times New Roman" w:cs="Times New Roman"/>
                <w:b w:val="0"/>
                <w:i w:val="0"/>
                <w:sz w:val="20"/>
              </w:rPr>
              <w:t>Archiver ou supprimer un client</w:t>
            </w:r>
          </w:p>
        </w:tc>
        <w:tc>
          <w:tcPr>
            <w:tcW w:type="dxa" w:w="4252"/>
          </w:tcPr>
          <w:p>
            <w:pPr>
              <w:spacing w:after="0" w:line="240" w:lineRule="auto"/>
              <w:jc w:val="left"/>
            </w:pPr>
            <w:r>
              <w:rPr>
                <w:rFonts w:ascii="Times New Roman" w:hAnsi="Times New Roman" w:eastAsia="Times New Roman" w:cs="Times New Roman"/>
                <w:b w:val="0"/>
                <w:i w:val="0"/>
                <w:sz w:val="20"/>
              </w:rPr>
              <w:t>Partiel : archivage logique, sans contrôle des contrats liés</w:t>
            </w:r>
          </w:p>
        </w:tc>
      </w:tr>
      <w:tr>
        <w:tc>
          <w:tcPr>
            <w:tcW w:type="dxa" w:w="794"/>
          </w:tcPr>
          <w:p>
            <w:pPr>
              <w:spacing w:after="0" w:line="240" w:lineRule="auto"/>
              <w:jc w:val="left"/>
            </w:pPr>
            <w:r>
              <w:rPr>
                <w:rFonts w:ascii="Times New Roman" w:hAnsi="Times New Roman" w:eastAsia="Times New Roman" w:cs="Times New Roman"/>
                <w:b w:val="0"/>
                <w:i w:val="0"/>
                <w:sz w:val="20"/>
              </w:rPr>
              <w:t>BF5</w:t>
            </w:r>
          </w:p>
        </w:tc>
        <w:tc>
          <w:tcPr>
            <w:tcW w:type="dxa" w:w="3742"/>
          </w:tcPr>
          <w:p>
            <w:pPr>
              <w:spacing w:after="0" w:line="240" w:lineRule="auto"/>
              <w:jc w:val="left"/>
            </w:pPr>
            <w:r>
              <w:rPr>
                <w:rFonts w:ascii="Times New Roman" w:hAnsi="Times New Roman" w:eastAsia="Times New Roman" w:cs="Times New Roman"/>
                <w:b w:val="0"/>
                <w:i w:val="0"/>
                <w:sz w:val="20"/>
              </w:rPr>
              <w:t>Créer un contrat pour un client existant</w:t>
            </w:r>
          </w:p>
        </w:tc>
        <w:tc>
          <w:tcPr>
            <w:tcW w:type="dxa" w:w="4252"/>
          </w:tcPr>
          <w:p>
            <w:pPr>
              <w:spacing w:after="0" w:line="240" w:lineRule="auto"/>
              <w:jc w:val="left"/>
            </w:pPr>
            <w:r>
              <w:rPr>
                <w:rFonts w:ascii="Times New Roman" w:hAnsi="Times New Roman" w:eastAsia="Times New Roman" w:cs="Times New Roman"/>
                <w:b w:val="0"/>
                <w:i w:val="0"/>
                <w:sz w:val="20"/>
              </w:rPr>
              <w:t>Réalisé</w:t>
            </w:r>
          </w:p>
        </w:tc>
      </w:tr>
      <w:tr>
        <w:tc>
          <w:tcPr>
            <w:tcW w:type="dxa" w:w="794"/>
          </w:tcPr>
          <w:p>
            <w:pPr>
              <w:spacing w:after="0" w:line="240" w:lineRule="auto"/>
              <w:jc w:val="left"/>
            </w:pPr>
            <w:r>
              <w:rPr>
                <w:rFonts w:ascii="Times New Roman" w:hAnsi="Times New Roman" w:eastAsia="Times New Roman" w:cs="Times New Roman"/>
                <w:b w:val="0"/>
                <w:i w:val="0"/>
                <w:sz w:val="20"/>
              </w:rPr>
              <w:t>BF6</w:t>
            </w:r>
          </w:p>
        </w:tc>
        <w:tc>
          <w:tcPr>
            <w:tcW w:type="dxa" w:w="3742"/>
          </w:tcPr>
          <w:p>
            <w:pPr>
              <w:spacing w:after="0" w:line="240" w:lineRule="auto"/>
              <w:jc w:val="left"/>
            </w:pPr>
            <w:r>
              <w:rPr>
                <w:rFonts w:ascii="Times New Roman" w:hAnsi="Times New Roman" w:eastAsia="Times New Roman" w:cs="Times New Roman"/>
                <w:b w:val="0"/>
                <w:i w:val="0"/>
                <w:sz w:val="20"/>
              </w:rPr>
              <w:t>Consulter les contrats (liste, détail, par client)</w:t>
            </w:r>
          </w:p>
        </w:tc>
        <w:tc>
          <w:tcPr>
            <w:tcW w:type="dxa" w:w="4252"/>
          </w:tcPr>
          <w:p>
            <w:pPr>
              <w:spacing w:after="0" w:line="240" w:lineRule="auto"/>
              <w:jc w:val="left"/>
            </w:pPr>
            <w:r>
              <w:rPr>
                <w:rFonts w:ascii="Times New Roman" w:hAnsi="Times New Roman" w:eastAsia="Times New Roman" w:cs="Times New Roman"/>
                <w:b w:val="0"/>
                <w:i w:val="0"/>
                <w:sz w:val="20"/>
              </w:rPr>
              <w:t>Réalisé</w:t>
            </w:r>
          </w:p>
        </w:tc>
      </w:tr>
      <w:tr>
        <w:tc>
          <w:tcPr>
            <w:tcW w:type="dxa" w:w="794"/>
          </w:tcPr>
          <w:p>
            <w:pPr>
              <w:spacing w:after="0" w:line="240" w:lineRule="auto"/>
              <w:jc w:val="left"/>
            </w:pPr>
            <w:r>
              <w:rPr>
                <w:rFonts w:ascii="Times New Roman" w:hAnsi="Times New Roman" w:eastAsia="Times New Roman" w:cs="Times New Roman"/>
                <w:b w:val="0"/>
                <w:i w:val="0"/>
                <w:sz w:val="20"/>
              </w:rPr>
              <w:t>BF7</w:t>
            </w:r>
          </w:p>
        </w:tc>
        <w:tc>
          <w:tcPr>
            <w:tcW w:type="dxa" w:w="3742"/>
          </w:tcPr>
          <w:p>
            <w:pPr>
              <w:spacing w:after="0" w:line="240" w:lineRule="auto"/>
              <w:jc w:val="left"/>
            </w:pPr>
            <w:r>
              <w:rPr>
                <w:rFonts w:ascii="Times New Roman" w:hAnsi="Times New Roman" w:eastAsia="Times New Roman" w:cs="Times New Roman"/>
                <w:b w:val="0"/>
                <w:i w:val="0"/>
                <w:sz w:val="20"/>
              </w:rPr>
              <w:t>Mettre à jour un contrat (montants, date de fin, statut)</w:t>
            </w:r>
          </w:p>
        </w:tc>
        <w:tc>
          <w:tcPr>
            <w:tcW w:type="dxa" w:w="4252"/>
          </w:tcPr>
          <w:p>
            <w:pPr>
              <w:spacing w:after="0" w:line="240" w:lineRule="auto"/>
              <w:jc w:val="left"/>
            </w:pPr>
            <w:r>
              <w:rPr>
                <w:rFonts w:ascii="Times New Roman" w:hAnsi="Times New Roman" w:eastAsia="Times New Roman" w:cs="Times New Roman"/>
                <w:b w:val="0"/>
                <w:i w:val="0"/>
                <w:sz w:val="20"/>
              </w:rPr>
              <w:t>Réalisé, sans contrôle de cohérence des dates</w:t>
            </w:r>
          </w:p>
        </w:tc>
      </w:tr>
      <w:tr>
        <w:tc>
          <w:tcPr>
            <w:tcW w:type="dxa" w:w="794"/>
          </w:tcPr>
          <w:p>
            <w:pPr>
              <w:spacing w:after="0" w:line="240" w:lineRule="auto"/>
              <w:jc w:val="left"/>
            </w:pPr>
            <w:r>
              <w:rPr>
                <w:rFonts w:ascii="Times New Roman" w:hAnsi="Times New Roman" w:eastAsia="Times New Roman" w:cs="Times New Roman"/>
                <w:b w:val="0"/>
                <w:i w:val="0"/>
                <w:sz w:val="20"/>
              </w:rPr>
              <w:t>BF8</w:t>
            </w:r>
          </w:p>
        </w:tc>
        <w:tc>
          <w:tcPr>
            <w:tcW w:type="dxa" w:w="3742"/>
          </w:tcPr>
          <w:p>
            <w:pPr>
              <w:spacing w:after="0" w:line="240" w:lineRule="auto"/>
              <w:jc w:val="left"/>
            </w:pPr>
            <w:r>
              <w:rPr>
                <w:rFonts w:ascii="Times New Roman" w:hAnsi="Times New Roman" w:eastAsia="Times New Roman" w:cs="Times New Roman"/>
                <w:b w:val="0"/>
                <w:i w:val="0"/>
                <w:sz w:val="20"/>
              </w:rPr>
              <w:t>Déclarer un sinistre sur un contrat actif</w:t>
            </w:r>
          </w:p>
        </w:tc>
        <w:tc>
          <w:tcPr>
            <w:tcW w:type="dxa" w:w="4252"/>
          </w:tcPr>
          <w:p>
            <w:pPr>
              <w:spacing w:after="0" w:line="240" w:lineRule="auto"/>
              <w:jc w:val="left"/>
            </w:pPr>
            <w:r>
              <w:rPr>
                <w:rFonts w:ascii="Times New Roman" w:hAnsi="Times New Roman" w:eastAsia="Times New Roman" w:cs="Times New Roman"/>
                <w:b w:val="0"/>
                <w:i w:val="0"/>
                <w:sz w:val="20"/>
              </w:rPr>
              <w:t>Réalisé ; justificatif facultatif</w:t>
            </w:r>
          </w:p>
        </w:tc>
      </w:tr>
      <w:tr>
        <w:tc>
          <w:tcPr>
            <w:tcW w:type="dxa" w:w="794"/>
          </w:tcPr>
          <w:p>
            <w:pPr>
              <w:spacing w:after="0" w:line="240" w:lineRule="auto"/>
              <w:jc w:val="left"/>
            </w:pPr>
            <w:r>
              <w:rPr>
                <w:rFonts w:ascii="Times New Roman" w:hAnsi="Times New Roman" w:eastAsia="Times New Roman" w:cs="Times New Roman"/>
                <w:b w:val="0"/>
                <w:i w:val="0"/>
                <w:sz w:val="20"/>
              </w:rPr>
              <w:t>BF9</w:t>
            </w:r>
          </w:p>
        </w:tc>
        <w:tc>
          <w:tcPr>
            <w:tcW w:type="dxa" w:w="3742"/>
          </w:tcPr>
          <w:p>
            <w:pPr>
              <w:spacing w:after="0" w:line="240" w:lineRule="auto"/>
              <w:jc w:val="left"/>
            </w:pPr>
            <w:r>
              <w:rPr>
                <w:rFonts w:ascii="Times New Roman" w:hAnsi="Times New Roman" w:eastAsia="Times New Roman" w:cs="Times New Roman"/>
                <w:b w:val="0"/>
                <w:i w:val="0"/>
                <w:sz w:val="20"/>
              </w:rPr>
              <w:t>Consulter les sinistres (par contrat, liste, détail)</w:t>
            </w:r>
          </w:p>
        </w:tc>
        <w:tc>
          <w:tcPr>
            <w:tcW w:type="dxa" w:w="4252"/>
          </w:tcPr>
          <w:p>
            <w:pPr>
              <w:spacing w:after="0" w:line="240" w:lineRule="auto"/>
              <w:jc w:val="left"/>
            </w:pPr>
            <w:r>
              <w:rPr>
                <w:rFonts w:ascii="Times New Roman" w:hAnsi="Times New Roman" w:eastAsia="Times New Roman" w:cs="Times New Roman"/>
                <w:b w:val="0"/>
                <w:i w:val="0"/>
                <w:sz w:val="20"/>
              </w:rPr>
              <w:t>Réalisé</w:t>
            </w:r>
          </w:p>
        </w:tc>
      </w:tr>
      <w:tr>
        <w:tc>
          <w:tcPr>
            <w:tcW w:type="dxa" w:w="794"/>
          </w:tcPr>
          <w:p>
            <w:pPr>
              <w:spacing w:after="0" w:line="240" w:lineRule="auto"/>
              <w:jc w:val="left"/>
            </w:pPr>
            <w:r>
              <w:rPr>
                <w:rFonts w:ascii="Times New Roman" w:hAnsi="Times New Roman" w:eastAsia="Times New Roman" w:cs="Times New Roman"/>
                <w:b w:val="0"/>
                <w:i w:val="0"/>
                <w:sz w:val="20"/>
              </w:rPr>
              <w:t>BF10</w:t>
            </w:r>
          </w:p>
        </w:tc>
        <w:tc>
          <w:tcPr>
            <w:tcW w:type="dxa" w:w="3742"/>
          </w:tcPr>
          <w:p>
            <w:pPr>
              <w:spacing w:after="0" w:line="240" w:lineRule="auto"/>
              <w:jc w:val="left"/>
            </w:pPr>
            <w:r>
              <w:rPr>
                <w:rFonts w:ascii="Times New Roman" w:hAnsi="Times New Roman" w:eastAsia="Times New Roman" w:cs="Times New Roman"/>
                <w:b w:val="0"/>
                <w:i w:val="0"/>
                <w:sz w:val="20"/>
              </w:rPr>
              <w:t>Instruire un sinistre (transitions, remboursement)</w:t>
            </w:r>
          </w:p>
        </w:tc>
        <w:tc>
          <w:tcPr>
            <w:tcW w:type="dxa" w:w="4252"/>
          </w:tcPr>
          <w:p>
            <w:pPr>
              <w:spacing w:after="0" w:line="240" w:lineRule="auto"/>
              <w:jc w:val="left"/>
            </w:pPr>
            <w:r>
              <w:rPr>
                <w:rFonts w:ascii="Times New Roman" w:hAnsi="Times New Roman" w:eastAsia="Times New Roman" w:cs="Times New Roman"/>
                <w:b w:val="0"/>
                <w:i w:val="0"/>
                <w:sz w:val="20"/>
              </w:rPr>
              <w:t>Non réalisé : les statuts existent, aucune transition n'est codée</w:t>
            </w:r>
          </w:p>
        </w:tc>
      </w:tr>
      <w:tr>
        <w:tc>
          <w:tcPr>
            <w:tcW w:type="dxa" w:w="794"/>
          </w:tcPr>
          <w:p>
            <w:pPr>
              <w:spacing w:after="0" w:line="240" w:lineRule="auto"/>
              <w:jc w:val="left"/>
            </w:pPr>
            <w:r>
              <w:rPr>
                <w:rFonts w:ascii="Times New Roman" w:hAnsi="Times New Roman" w:eastAsia="Times New Roman" w:cs="Times New Roman"/>
                <w:b w:val="0"/>
                <w:i w:val="0"/>
                <w:sz w:val="20"/>
              </w:rPr>
              <w:t>BF11</w:t>
            </w:r>
          </w:p>
        </w:tc>
        <w:tc>
          <w:tcPr>
            <w:tcW w:type="dxa" w:w="3742"/>
          </w:tcPr>
          <w:p>
            <w:pPr>
              <w:spacing w:after="0" w:line="240" w:lineRule="auto"/>
              <w:jc w:val="left"/>
            </w:pPr>
            <w:r>
              <w:rPr>
                <w:rFonts w:ascii="Times New Roman" w:hAnsi="Times New Roman" w:eastAsia="Times New Roman" w:cs="Times New Roman"/>
                <w:b w:val="0"/>
                <w:i w:val="0"/>
                <w:sz w:val="20"/>
              </w:rPr>
              <w:t>Gérer les comptes utilisateurs (ADMIN)</w:t>
            </w:r>
          </w:p>
        </w:tc>
        <w:tc>
          <w:tcPr>
            <w:tcW w:type="dxa" w:w="4252"/>
          </w:tcPr>
          <w:p>
            <w:pPr>
              <w:spacing w:after="0" w:line="240" w:lineRule="auto"/>
              <w:jc w:val="left"/>
            </w:pPr>
            <w:r>
              <w:rPr>
                <w:rFonts w:ascii="Times New Roman" w:hAnsi="Times New Roman" w:eastAsia="Times New Roman" w:cs="Times New Roman"/>
                <w:b w:val="0"/>
                <w:i w:val="0"/>
                <w:sz w:val="20"/>
              </w:rPr>
              <w:t>Partiel : liste réservée à l'ADMIN ; création possible sans authentification</w:t>
            </w:r>
          </w:p>
        </w:tc>
      </w:tr>
    </w:tbl>
    <w:p>
      <w:pPr>
        <w:spacing w:after="40"/>
      </w:pPr>
    </w:p>
    <w:p>
      <w:pPr>
        <w:pStyle w:val="Heading2"/>
      </w:pPr>
      <w:r>
        <w:t>3.3 Besoins non fonctionnels</w:t>
      </w:r>
    </w:p>
    <w:p>
      <w:r>
        <w:rPr>
          <w:rFonts w:ascii="Times New Roman" w:hAnsi="Times New Roman" w:eastAsia="Times New Roman" w:cs="Times New Roman"/>
          <w:b w:val="0"/>
          <w:i w:val="0"/>
        </w:rPr>
        <w:t xml:space="preserve">Cinq exigences non fonctionnelles guident la conception : </w:t>
      </w:r>
      <w:r>
        <w:rPr>
          <w:rFonts w:ascii="Times New Roman" w:hAnsi="Times New Roman" w:eastAsia="Times New Roman" w:cs="Times New Roman"/>
          <w:b/>
          <w:i w:val="0"/>
        </w:rPr>
        <w:t>sécurité</w:t>
      </w:r>
      <w:r>
        <w:rPr>
          <w:rFonts w:ascii="Times New Roman" w:hAnsi="Times New Roman" w:eastAsia="Times New Roman" w:cs="Times New Roman"/>
          <w:b w:val="0"/>
          <w:i w:val="0"/>
        </w:rPr>
        <w:t xml:space="preserve"> (aucune ressource métier sans jeton), </w:t>
      </w:r>
      <w:r>
        <w:rPr>
          <w:rFonts w:ascii="Times New Roman" w:hAnsi="Times New Roman" w:eastAsia="Times New Roman" w:cs="Times New Roman"/>
          <w:b/>
          <w:i w:val="0"/>
        </w:rPr>
        <w:t>intégrité</w:t>
      </w:r>
      <w:r>
        <w:rPr>
          <w:rFonts w:ascii="Times New Roman" w:hAnsi="Times New Roman" w:eastAsia="Times New Roman" w:cs="Times New Roman"/>
          <w:b w:val="0"/>
          <w:i w:val="0"/>
        </w:rPr>
        <w:t xml:space="preserve"> (unicité et non-nullité déclarées dans le mapping JPA), </w:t>
      </w:r>
      <w:r>
        <w:rPr>
          <w:rFonts w:ascii="Times New Roman" w:hAnsi="Times New Roman" w:eastAsia="Times New Roman" w:cs="Times New Roman"/>
          <w:b/>
          <w:i w:val="0"/>
        </w:rPr>
        <w:t>validation</w:t>
      </w:r>
      <w:r>
        <w:rPr>
          <w:rFonts w:ascii="Times New Roman" w:hAnsi="Times New Roman" w:eastAsia="Times New Roman" w:cs="Times New Roman"/>
          <w:b w:val="0"/>
          <w:i w:val="0"/>
        </w:rPr>
        <w:t xml:space="preserve"> des données d'entrée, </w:t>
      </w:r>
      <w:r>
        <w:rPr>
          <w:rFonts w:ascii="Times New Roman" w:hAnsi="Times New Roman" w:eastAsia="Times New Roman" w:cs="Times New Roman"/>
          <w:b/>
          <w:i w:val="0"/>
        </w:rPr>
        <w:t>documentation</w:t>
      </w:r>
      <w:r>
        <w:rPr>
          <w:rFonts w:ascii="Times New Roman" w:hAnsi="Times New Roman" w:eastAsia="Times New Roman" w:cs="Times New Roman"/>
          <w:b w:val="0"/>
          <w:i w:val="0"/>
        </w:rPr>
        <w:t xml:space="preserve"> OpenAPI et </w:t>
      </w:r>
      <w:r>
        <w:rPr>
          <w:rFonts w:ascii="Times New Roman" w:hAnsi="Times New Roman" w:eastAsia="Times New Roman" w:cs="Times New Roman"/>
          <w:b/>
          <w:i w:val="0"/>
        </w:rPr>
        <w:t>portabilité</w:t>
      </w:r>
      <w:r>
        <w:rPr>
          <w:rFonts w:ascii="Times New Roman" w:hAnsi="Times New Roman" w:eastAsia="Times New Roman" w:cs="Times New Roman"/>
          <w:b w:val="0"/>
          <w:i w:val="0"/>
        </w:rPr>
        <w:t xml:space="preserve"> (démarrage par Docker Compose). Le chapitre 4 indique dans quelle mesure elles sont tenues.</w:t>
      </w:r>
    </w:p>
    <w:p>
      <w:pPr>
        <w:pStyle w:val="Heading2"/>
      </w:pPr>
      <w:r>
        <w:t>3.4 Architecture de la solution</w:t>
      </w:r>
    </w:p>
    <w:p>
      <w:r>
        <w:rPr>
          <w:rFonts w:ascii="Times New Roman" w:hAnsi="Times New Roman" w:eastAsia="Times New Roman" w:cs="Times New Roman"/>
          <w:b w:val="0"/>
          <w:i w:val="0"/>
        </w:rPr>
        <w:t xml:space="preserve">L'application suit une architecture en couches, représentée à la figure </w:t>
      </w:r>
      <w:r>
        <w:fldChar w:fldCharType="begin"/>
      </w:r>
      <w:r>
        <w:instrText xml:space="preserve"> REF ref_fig_arch \h </w:instrText>
      </w:r>
      <w:r>
        <w:fldChar w:fldCharType="separate"/>
      </w:r>
      <w:r>
        <w:rPr>
          <w:rFonts w:ascii="Times New Roman" w:hAnsi="Times New Roman" w:eastAsia="Times New Roman" w:cs="Times New Roman"/>
          <w:b w:val="0"/>
          <w:i w:val="0"/>
        </w:rPr>
        <w:t>Figure 1</w:t>
      </w:r>
      <w:r>
        <w:fldChar w:fldCharType="end"/>
      </w:r>
      <w:r>
        <w:rPr>
          <w:rFonts w:ascii="Times New Roman" w:hAnsi="Times New Roman" w:eastAsia="Times New Roman" w:cs="Times New Roman"/>
          <w:b w:val="0"/>
          <w:i w:val="0"/>
        </w:rPr>
        <w:t>. Une requête HTTP traverse d'abord le filtre JwtAuthFilter, qui lit le jeton et renseigne le contexte de sécurité. Le contrôleur REST reçoit des objets de transfert (DTO) validés et délègue le traitement à un service. Le service applique les règles métier, convertit les entités en DTO de réponse et s'appuie sur un repository Spring Data JPA pour lire ou écrire dans PostgreSQL. Les exceptions métier sont converties en réponses JSON par un gestionnaire global. Le frontend Angular, lancé en développement sur le port 4200 (ng serve), appelle l'API sur le port 8080 : cette origine différente impose une configuration CORS.</w:t>
      </w:r>
    </w:p>
    <w:p>
      <w:pPr>
        <w:keepNext/>
        <w:spacing w:line="240" w:lineRule="auto"/>
        <w:jc w:val="center"/>
      </w:pPr>
      <w:r>
        <w:drawing>
          <wp:inline xmlns:a="http://schemas.openxmlformats.org/drawingml/2006/main" xmlns:pic="http://schemas.openxmlformats.org/drawingml/2006/picture">
            <wp:extent cx="5220000" cy="431574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220000" cy="4315748"/>
                    </a:xfrm>
                    <a:prstGeom prst="rect"/>
                  </pic:spPr>
                </pic:pic>
              </a:graphicData>
            </a:graphic>
          </wp:inline>
        </w:drawing>
      </w:r>
    </w:p>
    <w:p>
      <w:pPr>
        <w:pStyle w:val="Caption"/>
        <w:jc w:val="center"/>
      </w:pPr>
      <w:bookmarkStart w:id="102" w:name="ref_fig_arch"/>
      <w:r>
        <w:rPr>
          <w:rFonts w:ascii="Times New Roman" w:hAnsi="Times New Roman" w:eastAsia="Times New Roman" w:cs="Times New Roman"/>
          <w:b/>
          <w:i w:val="0"/>
          <w:sz w:val="20"/>
        </w:rPr>
        <w:t xml:space="preserve">Figure </w:t>
      </w:r>
      <w:r>
        <w:rPr>
          <w:sz w:val="20"/>
        </w:rPr>
        <w:fldChar w:fldCharType="begin"/>
      </w:r>
      <w:r>
        <w:instrText xml:space="preserve"> SEQ Figure \* ARABIC </w:instrText>
      </w:r>
      <w:r>
        <w:rPr>
          <w:sz w:val="20"/>
        </w:rPr>
        <w:fldChar w:fldCharType="separate"/>
      </w:r>
      <w:r>
        <w:rPr>
          <w:rFonts w:ascii="Times New Roman" w:hAnsi="Times New Roman" w:eastAsia="Times New Roman" w:cs="Times New Roman"/>
          <w:b/>
          <w:i w:val="0"/>
          <w:sz w:val="20"/>
        </w:rPr>
        <w:t>1</w:t>
      </w:r>
      <w:r>
        <w:rPr>
          <w:sz w:val="20"/>
        </w:rPr>
        <w:fldChar w:fldCharType="end"/>
      </w:r>
      <w:bookmarkEnd w:id="102"/>
      <w:r>
        <w:rPr>
          <w:rFonts w:ascii="Times New Roman" w:hAnsi="Times New Roman" w:eastAsia="Times New Roman" w:cs="Times New Roman"/>
          <w:b w:val="0"/>
          <w:i w:val="0"/>
          <w:sz w:val="20"/>
        </w:rPr>
        <w:t xml:space="preserve"> — Architecture en couches de la mini-API (d'après la structure du dépôt)</w:t>
      </w:r>
    </w:p>
    <w:p>
      <w:pPr>
        <w:pStyle w:val="Heading2"/>
      </w:pPr>
      <w:r>
        <w:t>3.5 Modèle de données</w:t>
      </w:r>
    </w:p>
    <w:p>
      <w:pPr>
        <w:keepNext/>
      </w:pPr>
      <w:r>
        <w:rPr>
          <w:rFonts w:ascii="Times New Roman" w:hAnsi="Times New Roman" w:eastAsia="Times New Roman" w:cs="Times New Roman"/>
          <w:b w:val="0"/>
          <w:i w:val="0"/>
        </w:rPr>
        <w:t xml:space="preserve">Le modèle comporte quatre entités persistantes, représentées à la figure </w:t>
      </w:r>
      <w:r>
        <w:fldChar w:fldCharType="begin"/>
      </w:r>
      <w:r>
        <w:instrText xml:space="preserve"> REF ref_fig_model \h </w:instrText>
      </w:r>
      <w:r>
        <w:fldChar w:fldCharType="separate"/>
      </w:r>
      <w:r>
        <w:rPr>
          <w:rFonts w:ascii="Times New Roman" w:hAnsi="Times New Roman" w:eastAsia="Times New Roman" w:cs="Times New Roman"/>
          <w:b w:val="0"/>
          <w:i w:val="0"/>
        </w:rPr>
        <w:t>Figure 2</w:t>
      </w:r>
      <w:r>
        <w:fldChar w:fldCharType="end"/>
      </w:r>
      <w:r>
        <w:rPr>
          <w:rFonts w:ascii="Times New Roman" w:hAnsi="Times New Roman" w:eastAsia="Times New Roman" w:cs="Times New Roman"/>
          <w:b w:val="0"/>
          <w:i w:val="0"/>
        </w:rPr>
        <w:t>. Plusieurs choix de modélisation sont visibles dans le code :</w:t>
      </w:r>
    </w:p>
    <w:p>
      <w:pPr>
        <w:pStyle w:val="ListBullet"/>
        <w:spacing w:after="40"/>
      </w:pPr>
      <w:r>
        <w:rPr>
          <w:rFonts w:ascii="Times New Roman" w:hAnsi="Times New Roman" w:eastAsia="Times New Roman" w:cs="Times New Roman"/>
          <w:b w:val="0"/>
          <w:i w:val="0"/>
        </w:rPr>
        <w:t>les montants sont typés BigDecimal et non double, afin d'éviter les erreurs d'arrondi sur des valeurs monétaires ;</w:t>
      </w:r>
    </w:p>
    <w:p>
      <w:pPr>
        <w:pStyle w:val="ListBullet"/>
        <w:spacing w:after="40"/>
      </w:pPr>
      <w:r>
        <w:rPr>
          <w:rFonts w:ascii="Times New Roman" w:hAnsi="Times New Roman" w:eastAsia="Times New Roman" w:cs="Times New Roman"/>
          <w:b w:val="0"/>
          <w:i w:val="0"/>
        </w:rPr>
        <w:t>les énumérations sont enregistrées sous forme de texte (@Enumerated(STRING)) : le stockage ne dépend pas de la position des constantes dans l'énumération ;</w:t>
      </w:r>
    </w:p>
    <w:p>
      <w:pPr>
        <w:pStyle w:val="ListBullet"/>
        <w:spacing w:after="40"/>
      </w:pPr>
      <w:r>
        <w:rPr>
          <w:rFonts w:ascii="Times New Roman" w:hAnsi="Times New Roman" w:eastAsia="Times New Roman" w:cs="Times New Roman"/>
          <w:b w:val="0"/>
          <w:i w:val="0"/>
        </w:rPr>
        <w:t>les associations ManyToOne vers Client et Contract sont chargées à la demande (LAZY), et l'option open-in-view est désactivée dans la configuration ;</w:t>
      </w:r>
    </w:p>
    <w:p>
      <w:pPr>
        <w:pStyle w:val="ListBullet"/>
        <w:spacing w:after="40"/>
      </w:pPr>
      <w:r>
        <w:rPr>
          <w:rFonts w:ascii="Times New Roman" w:hAnsi="Times New Roman" w:eastAsia="Times New Roman" w:cs="Times New Roman"/>
          <w:b w:val="0"/>
          <w:i w:val="0"/>
        </w:rPr>
        <w:t>l'utilisateur est mappé sur la table app_user, car le commentaire de la classe signale que « user » peut entrer en conflit avec un mot réservé ;</w:t>
      </w:r>
    </w:p>
    <w:p>
      <w:pPr>
        <w:pStyle w:val="ListBullet"/>
        <w:spacing w:after="40"/>
      </w:pPr>
      <w:r>
        <w:rPr>
          <w:rFonts w:ascii="Times New Roman" w:hAnsi="Times New Roman" w:eastAsia="Times New Roman" w:cs="Times New Roman"/>
          <w:b w:val="0"/>
          <w:i w:val="0"/>
        </w:rPr>
        <w:t>la suppression d'un client est logique : le champ active passe à false et le client disparaît des listes.</w:t>
      </w:r>
    </w:p>
    <w:p>
      <w:pPr>
        <w:keepNext/>
        <w:spacing w:line="240" w:lineRule="auto"/>
        <w:jc w:val="center"/>
      </w:pPr>
      <w:r>
        <w:drawing>
          <wp:inline xmlns:a="http://schemas.openxmlformats.org/drawingml/2006/main" xmlns:pic="http://schemas.openxmlformats.org/drawingml/2006/picture">
            <wp:extent cx="5220000" cy="3657612"/>
            <wp:docPr id="2" name="Picture 2"/>
            <wp:cNvGraphicFramePr>
              <a:graphicFrameLocks noChangeAspect="1"/>
            </wp:cNvGraphicFramePr>
            <a:graphic>
              <a:graphicData uri="http://schemas.openxmlformats.org/drawingml/2006/picture">
                <pic:pic>
                  <pic:nvPicPr>
                    <pic:cNvPr id="0" name="fig2_modele_donnees.png"/>
                    <pic:cNvPicPr/>
                  </pic:nvPicPr>
                  <pic:blipFill>
                    <a:blip r:embed="rId12"/>
                    <a:stretch>
                      <a:fillRect/>
                    </a:stretch>
                  </pic:blipFill>
                  <pic:spPr>
                    <a:xfrm>
                      <a:off x="0" y="0"/>
                      <a:ext cx="5220000" cy="3657612"/>
                    </a:xfrm>
                    <a:prstGeom prst="rect"/>
                  </pic:spPr>
                </pic:pic>
              </a:graphicData>
            </a:graphic>
          </wp:inline>
        </w:drawing>
      </w:r>
    </w:p>
    <w:p>
      <w:pPr>
        <w:pStyle w:val="Caption"/>
        <w:jc w:val="center"/>
      </w:pPr>
      <w:bookmarkStart w:id="103" w:name="ref_fig_model"/>
      <w:r>
        <w:rPr>
          <w:rFonts w:ascii="Times New Roman" w:hAnsi="Times New Roman" w:eastAsia="Times New Roman" w:cs="Times New Roman"/>
          <w:b/>
          <w:i w:val="0"/>
          <w:sz w:val="20"/>
        </w:rPr>
        <w:t xml:space="preserve">Figure </w:t>
      </w:r>
      <w:r>
        <w:rPr>
          <w:sz w:val="20"/>
        </w:rPr>
        <w:fldChar w:fldCharType="begin"/>
      </w:r>
      <w:r>
        <w:instrText xml:space="preserve"> SEQ Figure \* ARABIC </w:instrText>
      </w:r>
      <w:r>
        <w:rPr>
          <w:sz w:val="20"/>
        </w:rPr>
        <w:fldChar w:fldCharType="separate"/>
      </w:r>
      <w:r>
        <w:rPr>
          <w:rFonts w:ascii="Times New Roman" w:hAnsi="Times New Roman" w:eastAsia="Times New Roman" w:cs="Times New Roman"/>
          <w:b/>
          <w:i w:val="0"/>
          <w:sz w:val="20"/>
        </w:rPr>
        <w:t>2</w:t>
      </w:r>
      <w:r>
        <w:rPr>
          <w:sz w:val="20"/>
        </w:rPr>
        <w:fldChar w:fldCharType="end"/>
      </w:r>
      <w:bookmarkEnd w:id="103"/>
      <w:r>
        <w:rPr>
          <w:rFonts w:ascii="Times New Roman" w:hAnsi="Times New Roman" w:eastAsia="Times New Roman" w:cs="Times New Roman"/>
          <w:b w:val="0"/>
          <w:i w:val="0"/>
          <w:sz w:val="20"/>
        </w:rPr>
        <w:t xml:space="preserve"> — Modèle de données : entités principales et relations</w:t>
      </w:r>
    </w:p>
    <w:p>
      <w:pPr>
        <w:pStyle w:val="Heading2"/>
      </w:pPr>
      <w:r>
        <w:t>3.6 Choix techniques</w:t>
      </w:r>
    </w:p>
    <w:p>
      <w:pPr>
        <w:keepNext/>
      </w:pPr>
      <w:r>
        <w:rPr>
          <w:rFonts w:ascii="Times New Roman" w:hAnsi="Times New Roman" w:eastAsia="Times New Roman" w:cs="Times New Roman"/>
          <w:b w:val="0"/>
          <w:i w:val="0"/>
        </w:rPr>
        <w:t xml:space="preserve">Le tableau </w:t>
      </w:r>
      <w:r>
        <w:fldChar w:fldCharType="begin"/>
      </w:r>
      <w:r>
        <w:instrText xml:space="preserve"> REF ref_tab_stack \h </w:instrText>
      </w:r>
      <w:r>
        <w:fldChar w:fldCharType="separate"/>
      </w:r>
      <w:r>
        <w:rPr>
          <w:rFonts w:ascii="Times New Roman" w:hAnsi="Times New Roman" w:eastAsia="Times New Roman" w:cs="Times New Roman"/>
          <w:b w:val="0"/>
          <w:i w:val="0"/>
        </w:rPr>
        <w:t>Tableau 2</w:t>
      </w:r>
      <w:r>
        <w:fldChar w:fldCharType="end"/>
      </w:r>
      <w:r>
        <w:rPr>
          <w:rFonts w:ascii="Times New Roman" w:hAnsi="Times New Roman" w:eastAsia="Times New Roman" w:cs="Times New Roman"/>
          <w:b w:val="0"/>
          <w:i w:val="0"/>
        </w:rPr>
        <w:t xml:space="preserve"> présente les composants retenus, leur version telle que déclarée dans le dépôt et leur rôle dans la solution.</w:t>
      </w:r>
    </w:p>
    <w:p>
      <w:pPr>
        <w:pStyle w:val="Caption"/>
        <w:keepNext/>
        <w:jc w:val="left"/>
      </w:pPr>
      <w:bookmarkStart w:id="104" w:name="ref_tab_stack"/>
      <w:r>
        <w:rPr>
          <w:rFonts w:ascii="Times New Roman" w:hAnsi="Times New Roman" w:eastAsia="Times New Roman" w:cs="Times New Roman"/>
          <w:b/>
          <w:i w:val="0"/>
          <w:sz w:val="20"/>
        </w:rPr>
        <w:t xml:space="preserve">Tableau </w:t>
      </w:r>
      <w:r>
        <w:rPr>
          <w:sz w:val="20"/>
        </w:rPr>
        <w:fldChar w:fldCharType="begin"/>
      </w:r>
      <w:r>
        <w:instrText xml:space="preserve"> SEQ Tableau \* ARABIC </w:instrText>
      </w:r>
      <w:r>
        <w:rPr>
          <w:sz w:val="20"/>
        </w:rPr>
        <w:fldChar w:fldCharType="separate"/>
      </w:r>
      <w:r>
        <w:rPr>
          <w:rFonts w:ascii="Times New Roman" w:hAnsi="Times New Roman" w:eastAsia="Times New Roman" w:cs="Times New Roman"/>
          <w:b/>
          <w:i w:val="0"/>
          <w:sz w:val="20"/>
        </w:rPr>
        <w:t>2</w:t>
      </w:r>
      <w:r>
        <w:rPr>
          <w:sz w:val="20"/>
        </w:rPr>
        <w:fldChar w:fldCharType="end"/>
      </w:r>
      <w:bookmarkEnd w:id="104"/>
      <w:r>
        <w:rPr>
          <w:rFonts w:ascii="Times New Roman" w:hAnsi="Times New Roman" w:eastAsia="Times New Roman" w:cs="Times New Roman"/>
          <w:b w:val="0"/>
          <w:i w:val="0"/>
          <w:sz w:val="20"/>
        </w:rPr>
        <w:t xml:space="preserve"> — Composants techniques, versions déclarées et rôle</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2381"/>
            <w:shd w:val="clear" w:color="auto" w:fill="D9D9D9"/>
          </w:tcPr>
          <w:p>
            <w:pPr>
              <w:spacing w:after="0" w:line="240" w:lineRule="auto"/>
              <w:jc w:val="left"/>
            </w:pPr>
            <w:r>
              <w:rPr>
                <w:rFonts w:ascii="Times New Roman" w:hAnsi="Times New Roman" w:eastAsia="Times New Roman" w:cs="Times New Roman"/>
                <w:b/>
                <w:i w:val="0"/>
                <w:sz w:val="20"/>
              </w:rPr>
              <w:t>Composant</w:t>
            </w:r>
          </w:p>
        </w:tc>
        <w:tc>
          <w:tcPr>
            <w:tcW w:type="dxa" w:w="2778"/>
            <w:shd w:val="clear" w:color="auto" w:fill="D9D9D9"/>
          </w:tcPr>
          <w:p>
            <w:pPr>
              <w:spacing w:after="0" w:line="240" w:lineRule="auto"/>
              <w:jc w:val="left"/>
            </w:pPr>
            <w:r>
              <w:rPr>
                <w:rFonts w:ascii="Times New Roman" w:hAnsi="Times New Roman" w:eastAsia="Times New Roman" w:cs="Times New Roman"/>
                <w:b/>
                <w:i w:val="0"/>
                <w:sz w:val="20"/>
              </w:rPr>
              <w:t>Version déclarée</w:t>
            </w:r>
          </w:p>
        </w:tc>
        <w:tc>
          <w:tcPr>
            <w:tcW w:type="dxa" w:w="3628"/>
            <w:shd w:val="clear" w:color="auto" w:fill="D9D9D9"/>
          </w:tcPr>
          <w:p>
            <w:pPr>
              <w:spacing w:after="0" w:line="240" w:lineRule="auto"/>
              <w:jc w:val="left"/>
            </w:pPr>
            <w:r>
              <w:rPr>
                <w:rFonts w:ascii="Times New Roman" w:hAnsi="Times New Roman" w:eastAsia="Times New Roman" w:cs="Times New Roman"/>
                <w:b/>
                <w:i w:val="0"/>
                <w:sz w:val="20"/>
              </w:rPr>
              <w:t>Rôle dans la solution</w:t>
            </w:r>
          </w:p>
        </w:tc>
      </w:tr>
      <w:tr>
        <w:tc>
          <w:tcPr>
            <w:tcW w:type="dxa" w:w="2381"/>
          </w:tcPr>
          <w:p>
            <w:pPr>
              <w:spacing w:after="0" w:line="240" w:lineRule="auto"/>
              <w:jc w:val="left"/>
            </w:pPr>
            <w:r>
              <w:rPr>
                <w:rFonts w:ascii="Times New Roman" w:hAnsi="Times New Roman" w:eastAsia="Times New Roman" w:cs="Times New Roman"/>
                <w:b w:val="0"/>
                <w:i w:val="0"/>
                <w:sz w:val="20"/>
              </w:rPr>
              <w:t>Java</w:t>
            </w:r>
          </w:p>
        </w:tc>
        <w:tc>
          <w:tcPr>
            <w:tcW w:type="dxa" w:w="2778"/>
          </w:tcPr>
          <w:p>
            <w:pPr>
              <w:spacing w:after="0" w:line="240" w:lineRule="auto"/>
              <w:jc w:val="left"/>
            </w:pPr>
            <w:r>
              <w:rPr>
                <w:rFonts w:ascii="Times New Roman" w:hAnsi="Times New Roman" w:eastAsia="Times New Roman" w:cs="Times New Roman"/>
                <w:b w:val="0"/>
                <w:i w:val="0"/>
                <w:sz w:val="20"/>
              </w:rPr>
              <w:t>17 (pom.xml)</w:t>
            </w:r>
          </w:p>
        </w:tc>
        <w:tc>
          <w:tcPr>
            <w:tcW w:type="dxa" w:w="3628"/>
          </w:tcPr>
          <w:p>
            <w:pPr>
              <w:spacing w:after="0" w:line="240" w:lineRule="auto"/>
              <w:jc w:val="left"/>
            </w:pPr>
            <w:r>
              <w:rPr>
                <w:rFonts w:ascii="Times New Roman" w:hAnsi="Times New Roman" w:eastAsia="Times New Roman" w:cs="Times New Roman"/>
                <w:b w:val="0"/>
                <w:i w:val="0"/>
                <w:sz w:val="20"/>
              </w:rPr>
              <w:t>Langage du backend ; records pour les DTO</w:t>
            </w:r>
          </w:p>
        </w:tc>
      </w:tr>
      <w:tr>
        <w:tc>
          <w:tcPr>
            <w:tcW w:type="dxa" w:w="2381"/>
          </w:tcPr>
          <w:p>
            <w:pPr>
              <w:spacing w:after="0" w:line="240" w:lineRule="auto"/>
              <w:jc w:val="left"/>
            </w:pPr>
            <w:r>
              <w:rPr>
                <w:rFonts w:ascii="Times New Roman" w:hAnsi="Times New Roman" w:eastAsia="Times New Roman" w:cs="Times New Roman"/>
                <w:b w:val="0"/>
                <w:i w:val="0"/>
                <w:sz w:val="20"/>
              </w:rPr>
              <w:t>Spring Boot</w:t>
            </w:r>
          </w:p>
        </w:tc>
        <w:tc>
          <w:tcPr>
            <w:tcW w:type="dxa" w:w="2778"/>
          </w:tcPr>
          <w:p>
            <w:pPr>
              <w:spacing w:after="0" w:line="240" w:lineRule="auto"/>
              <w:jc w:val="left"/>
            </w:pPr>
            <w:r>
              <w:rPr>
                <w:rFonts w:ascii="Times New Roman" w:hAnsi="Times New Roman" w:eastAsia="Times New Roman" w:cs="Times New Roman"/>
                <w:b w:val="0"/>
                <w:i w:val="0"/>
                <w:sz w:val="20"/>
              </w:rPr>
              <w:t>3.5.16 (pom.xml)</w:t>
            </w:r>
          </w:p>
        </w:tc>
        <w:tc>
          <w:tcPr>
            <w:tcW w:type="dxa" w:w="3628"/>
          </w:tcPr>
          <w:p>
            <w:pPr>
              <w:spacing w:after="0" w:line="240" w:lineRule="auto"/>
              <w:jc w:val="left"/>
            </w:pPr>
            <w:r>
              <w:rPr>
                <w:rFonts w:ascii="Times New Roman" w:hAnsi="Times New Roman" w:eastAsia="Times New Roman" w:cs="Times New Roman"/>
                <w:b w:val="0"/>
                <w:i w:val="0"/>
                <w:sz w:val="20"/>
              </w:rPr>
              <w:t>Démarrage, configuration, serveur HTTP embarqué</w:t>
            </w:r>
          </w:p>
        </w:tc>
      </w:tr>
      <w:tr>
        <w:tc>
          <w:tcPr>
            <w:tcW w:type="dxa" w:w="2381"/>
          </w:tcPr>
          <w:p>
            <w:pPr>
              <w:spacing w:after="0" w:line="240" w:lineRule="auto"/>
              <w:jc w:val="left"/>
            </w:pPr>
            <w:r>
              <w:rPr>
                <w:rFonts w:ascii="Times New Roman" w:hAnsi="Times New Roman" w:eastAsia="Times New Roman" w:cs="Times New Roman"/>
                <w:b w:val="0"/>
                <w:i w:val="0"/>
                <w:sz w:val="20"/>
              </w:rPr>
              <w:t>Spring Data JPA / Hibernate</w:t>
            </w:r>
          </w:p>
        </w:tc>
        <w:tc>
          <w:tcPr>
            <w:tcW w:type="dxa" w:w="2778"/>
          </w:tcPr>
          <w:p>
            <w:pPr>
              <w:spacing w:after="0" w:line="240" w:lineRule="auto"/>
              <w:jc w:val="left"/>
            </w:pPr>
            <w:r>
              <w:rPr>
                <w:rFonts w:ascii="Times New Roman" w:hAnsi="Times New Roman" w:eastAsia="Times New Roman" w:cs="Times New Roman"/>
                <w:b w:val="0"/>
                <w:i w:val="0"/>
                <w:sz w:val="20"/>
              </w:rPr>
              <w:t>Gérés par Spring Boot</w:t>
            </w:r>
          </w:p>
        </w:tc>
        <w:tc>
          <w:tcPr>
            <w:tcW w:type="dxa" w:w="3628"/>
          </w:tcPr>
          <w:p>
            <w:pPr>
              <w:spacing w:after="0" w:line="240" w:lineRule="auto"/>
              <w:jc w:val="left"/>
            </w:pPr>
            <w:r>
              <w:rPr>
                <w:rFonts w:ascii="Times New Roman" w:hAnsi="Times New Roman" w:eastAsia="Times New Roman" w:cs="Times New Roman"/>
                <w:b w:val="0"/>
                <w:i w:val="0"/>
                <w:sz w:val="20"/>
              </w:rPr>
              <w:t>Persistance objet-relationnelle, repositories</w:t>
            </w:r>
          </w:p>
        </w:tc>
      </w:tr>
      <w:tr>
        <w:tc>
          <w:tcPr>
            <w:tcW w:type="dxa" w:w="2381"/>
          </w:tcPr>
          <w:p>
            <w:pPr>
              <w:spacing w:after="0" w:line="240" w:lineRule="auto"/>
              <w:jc w:val="left"/>
            </w:pPr>
            <w:r>
              <w:rPr>
                <w:rFonts w:ascii="Times New Roman" w:hAnsi="Times New Roman" w:eastAsia="Times New Roman" w:cs="Times New Roman"/>
                <w:b w:val="0"/>
                <w:i w:val="0"/>
                <w:sz w:val="20"/>
              </w:rPr>
              <w:t>PostgreSQL</w:t>
            </w:r>
          </w:p>
        </w:tc>
        <w:tc>
          <w:tcPr>
            <w:tcW w:type="dxa" w:w="2778"/>
          </w:tcPr>
          <w:p>
            <w:pPr>
              <w:spacing w:after="0" w:line="240" w:lineRule="auto"/>
              <w:jc w:val="left"/>
            </w:pPr>
            <w:r>
              <w:rPr>
                <w:rFonts w:ascii="Times New Roman" w:hAnsi="Times New Roman" w:eastAsia="Times New Roman" w:cs="Times New Roman"/>
                <w:b w:val="0"/>
                <w:i w:val="0"/>
                <w:sz w:val="20"/>
              </w:rPr>
              <w:t>16 (docker-compose.yml)</w:t>
            </w:r>
          </w:p>
        </w:tc>
        <w:tc>
          <w:tcPr>
            <w:tcW w:type="dxa" w:w="3628"/>
          </w:tcPr>
          <w:p>
            <w:pPr>
              <w:spacing w:after="0" w:line="240" w:lineRule="auto"/>
              <w:jc w:val="left"/>
            </w:pPr>
            <w:r>
              <w:rPr>
                <w:rFonts w:ascii="Times New Roman" w:hAnsi="Times New Roman" w:eastAsia="Times New Roman" w:cs="Times New Roman"/>
                <w:b w:val="0"/>
                <w:i w:val="0"/>
                <w:sz w:val="20"/>
              </w:rPr>
              <w:t>Base relationnelle, contraintes d'intégrité</w:t>
            </w:r>
          </w:p>
        </w:tc>
      </w:tr>
      <w:tr>
        <w:tc>
          <w:tcPr>
            <w:tcW w:type="dxa" w:w="2381"/>
          </w:tcPr>
          <w:p>
            <w:pPr>
              <w:spacing w:after="0" w:line="240" w:lineRule="auto"/>
              <w:jc w:val="left"/>
            </w:pPr>
            <w:r>
              <w:rPr>
                <w:rFonts w:ascii="Times New Roman" w:hAnsi="Times New Roman" w:eastAsia="Times New Roman" w:cs="Times New Roman"/>
                <w:b w:val="0"/>
                <w:i w:val="0"/>
                <w:sz w:val="20"/>
              </w:rPr>
              <w:t>Spring Security et JJWT</w:t>
            </w:r>
          </w:p>
        </w:tc>
        <w:tc>
          <w:tcPr>
            <w:tcW w:type="dxa" w:w="2778"/>
          </w:tcPr>
          <w:p>
            <w:pPr>
              <w:spacing w:after="0" w:line="240" w:lineRule="auto"/>
              <w:jc w:val="left"/>
            </w:pPr>
            <w:r>
              <w:rPr>
                <w:rFonts w:ascii="Times New Roman" w:hAnsi="Times New Roman" w:eastAsia="Times New Roman" w:cs="Times New Roman"/>
                <w:b w:val="0"/>
                <w:i w:val="0"/>
                <w:sz w:val="20"/>
              </w:rPr>
              <w:t>JJWT 0.12.6</w:t>
            </w:r>
          </w:p>
        </w:tc>
        <w:tc>
          <w:tcPr>
            <w:tcW w:type="dxa" w:w="3628"/>
          </w:tcPr>
          <w:p>
            <w:pPr>
              <w:spacing w:after="0" w:line="240" w:lineRule="auto"/>
              <w:jc w:val="left"/>
            </w:pPr>
            <w:r>
              <w:rPr>
                <w:rFonts w:ascii="Times New Roman" w:hAnsi="Times New Roman" w:eastAsia="Times New Roman" w:cs="Times New Roman"/>
                <w:b w:val="0"/>
                <w:i w:val="0"/>
                <w:sz w:val="20"/>
              </w:rPr>
              <w:t>Authentification par jeton signé (HMAC)</w:t>
            </w:r>
          </w:p>
        </w:tc>
      </w:tr>
      <w:tr>
        <w:tc>
          <w:tcPr>
            <w:tcW w:type="dxa" w:w="2381"/>
          </w:tcPr>
          <w:p>
            <w:pPr>
              <w:spacing w:after="0" w:line="240" w:lineRule="auto"/>
              <w:jc w:val="left"/>
            </w:pPr>
            <w:r>
              <w:rPr>
                <w:rFonts w:ascii="Times New Roman" w:hAnsi="Times New Roman" w:eastAsia="Times New Roman" w:cs="Times New Roman"/>
                <w:b w:val="0"/>
                <w:i w:val="0"/>
                <w:sz w:val="20"/>
              </w:rPr>
              <w:t>Bean Validation</w:t>
            </w:r>
          </w:p>
        </w:tc>
        <w:tc>
          <w:tcPr>
            <w:tcW w:type="dxa" w:w="2778"/>
          </w:tcPr>
          <w:p>
            <w:pPr>
              <w:spacing w:after="0" w:line="240" w:lineRule="auto"/>
              <w:jc w:val="left"/>
            </w:pPr>
            <w:r>
              <w:rPr>
                <w:rFonts w:ascii="Times New Roman" w:hAnsi="Times New Roman" w:eastAsia="Times New Roman" w:cs="Times New Roman"/>
                <w:b w:val="0"/>
                <w:i w:val="0"/>
                <w:sz w:val="20"/>
              </w:rPr>
              <w:t>Géré par Spring Boot</w:t>
            </w:r>
          </w:p>
        </w:tc>
        <w:tc>
          <w:tcPr>
            <w:tcW w:type="dxa" w:w="3628"/>
          </w:tcPr>
          <w:p>
            <w:pPr>
              <w:spacing w:after="0" w:line="240" w:lineRule="auto"/>
              <w:jc w:val="left"/>
            </w:pPr>
            <w:r>
              <w:rPr>
                <w:rFonts w:ascii="Times New Roman" w:hAnsi="Times New Roman" w:eastAsia="Times New Roman" w:cs="Times New Roman"/>
                <w:b w:val="0"/>
                <w:i w:val="0"/>
                <w:sz w:val="20"/>
              </w:rPr>
              <w:t>Validation déclarative des DTO</w:t>
            </w:r>
          </w:p>
        </w:tc>
      </w:tr>
      <w:tr>
        <w:tc>
          <w:tcPr>
            <w:tcW w:type="dxa" w:w="2381"/>
          </w:tcPr>
          <w:p>
            <w:pPr>
              <w:spacing w:after="0" w:line="240" w:lineRule="auto"/>
              <w:jc w:val="left"/>
            </w:pPr>
            <w:r>
              <w:rPr>
                <w:rFonts w:ascii="Times New Roman" w:hAnsi="Times New Roman" w:eastAsia="Times New Roman" w:cs="Times New Roman"/>
                <w:b w:val="0"/>
                <w:i w:val="0"/>
                <w:sz w:val="20"/>
              </w:rPr>
              <w:t>springdoc-openapi</w:t>
            </w:r>
          </w:p>
        </w:tc>
        <w:tc>
          <w:tcPr>
            <w:tcW w:type="dxa" w:w="2778"/>
          </w:tcPr>
          <w:p>
            <w:pPr>
              <w:spacing w:after="0" w:line="240" w:lineRule="auto"/>
              <w:jc w:val="left"/>
            </w:pPr>
            <w:r>
              <w:rPr>
                <w:rFonts w:ascii="Times New Roman" w:hAnsi="Times New Roman" w:eastAsia="Times New Roman" w:cs="Times New Roman"/>
                <w:b w:val="0"/>
                <w:i w:val="0"/>
                <w:sz w:val="20"/>
              </w:rPr>
              <w:t>2.7.0</w:t>
            </w:r>
          </w:p>
        </w:tc>
        <w:tc>
          <w:tcPr>
            <w:tcW w:type="dxa" w:w="3628"/>
          </w:tcPr>
          <w:p>
            <w:pPr>
              <w:spacing w:after="0" w:line="240" w:lineRule="auto"/>
              <w:jc w:val="left"/>
            </w:pPr>
            <w:r>
              <w:rPr>
                <w:rFonts w:ascii="Times New Roman" w:hAnsi="Times New Roman" w:eastAsia="Times New Roman" w:cs="Times New Roman"/>
                <w:b w:val="0"/>
                <w:i w:val="0"/>
                <w:sz w:val="20"/>
              </w:rPr>
              <w:t>Spécification OpenAPI et interface Swagger UI</w:t>
            </w:r>
          </w:p>
        </w:tc>
      </w:tr>
      <w:tr>
        <w:tc>
          <w:tcPr>
            <w:tcW w:type="dxa" w:w="2381"/>
          </w:tcPr>
          <w:p>
            <w:pPr>
              <w:spacing w:after="0" w:line="240" w:lineRule="auto"/>
              <w:jc w:val="left"/>
            </w:pPr>
            <w:r>
              <w:rPr>
                <w:rFonts w:ascii="Times New Roman" w:hAnsi="Times New Roman" w:eastAsia="Times New Roman" w:cs="Times New Roman"/>
                <w:b w:val="0"/>
                <w:i w:val="0"/>
                <w:sz w:val="20"/>
              </w:rPr>
              <w:t>Docker et Compose</w:t>
            </w:r>
          </w:p>
        </w:tc>
        <w:tc>
          <w:tcPr>
            <w:tcW w:type="dxa" w:w="2778"/>
          </w:tcPr>
          <w:p>
            <w:pPr>
              <w:spacing w:after="0" w:line="240" w:lineRule="auto"/>
              <w:jc w:val="left"/>
            </w:pPr>
            <w:r>
              <w:rPr>
                <w:rFonts w:ascii="Times New Roman" w:hAnsi="Times New Roman" w:eastAsia="Times New Roman" w:cs="Times New Roman"/>
                <w:b w:val="0"/>
                <w:i w:val="0"/>
                <w:sz w:val="20"/>
              </w:rPr>
              <w:t>maven:3.9.9-eclipse-temurin-17, eclipse-temurin:17-jre, postgres:16</w:t>
            </w:r>
          </w:p>
        </w:tc>
        <w:tc>
          <w:tcPr>
            <w:tcW w:type="dxa" w:w="3628"/>
          </w:tcPr>
          <w:p>
            <w:pPr>
              <w:spacing w:after="0" w:line="240" w:lineRule="auto"/>
              <w:jc w:val="left"/>
            </w:pPr>
            <w:r>
              <w:rPr>
                <w:rFonts w:ascii="Times New Roman" w:hAnsi="Times New Roman" w:eastAsia="Times New Roman" w:cs="Times New Roman"/>
                <w:b w:val="0"/>
                <w:i w:val="0"/>
                <w:sz w:val="20"/>
              </w:rPr>
              <w:t>Construction et exécution reproductibles</w:t>
            </w:r>
          </w:p>
        </w:tc>
      </w:tr>
      <w:tr>
        <w:tc>
          <w:tcPr>
            <w:tcW w:type="dxa" w:w="2381"/>
          </w:tcPr>
          <w:p>
            <w:pPr>
              <w:spacing w:after="0" w:line="240" w:lineRule="auto"/>
              <w:jc w:val="left"/>
            </w:pPr>
            <w:r>
              <w:rPr>
                <w:rFonts w:ascii="Times New Roman" w:hAnsi="Times New Roman" w:eastAsia="Times New Roman" w:cs="Times New Roman"/>
                <w:b w:val="0"/>
                <w:i w:val="0"/>
                <w:sz w:val="20"/>
              </w:rPr>
              <w:t>Angular</w:t>
            </w:r>
          </w:p>
        </w:tc>
        <w:tc>
          <w:tcPr>
            <w:tcW w:type="dxa" w:w="2778"/>
          </w:tcPr>
          <w:p>
            <w:pPr>
              <w:spacing w:after="0" w:line="240" w:lineRule="auto"/>
              <w:jc w:val="left"/>
            </w:pPr>
            <w:r>
              <w:rPr>
                <w:rFonts w:ascii="Times New Roman" w:hAnsi="Times New Roman" w:eastAsia="Times New Roman" w:cs="Times New Roman"/>
                <w:b w:val="0"/>
                <w:i w:val="0"/>
                <w:sz w:val="20"/>
              </w:rPr>
              <w:t>21.2 (package.json)</w:t>
            </w:r>
          </w:p>
        </w:tc>
        <w:tc>
          <w:tcPr>
            <w:tcW w:type="dxa" w:w="3628"/>
          </w:tcPr>
          <w:p>
            <w:pPr>
              <w:spacing w:after="0" w:line="240" w:lineRule="auto"/>
              <w:jc w:val="left"/>
            </w:pPr>
            <w:r>
              <w:rPr>
                <w:rFonts w:ascii="Times New Roman" w:hAnsi="Times New Roman" w:eastAsia="Times New Roman" w:cs="Times New Roman"/>
                <w:b w:val="0"/>
                <w:i w:val="0"/>
                <w:sz w:val="20"/>
              </w:rPr>
              <w:t>Interface web consommant l'API</w:t>
            </w:r>
          </w:p>
        </w:tc>
      </w:tr>
      <w:tr>
        <w:tc>
          <w:tcPr>
            <w:tcW w:type="dxa" w:w="2381"/>
          </w:tcPr>
          <w:p>
            <w:pPr>
              <w:spacing w:after="0" w:line="240" w:lineRule="auto"/>
              <w:jc w:val="left"/>
            </w:pPr>
            <w:r>
              <w:rPr>
                <w:rFonts w:ascii="Times New Roman" w:hAnsi="Times New Roman" w:eastAsia="Times New Roman" w:cs="Times New Roman"/>
                <w:b w:val="0"/>
                <w:i w:val="0"/>
                <w:sz w:val="20"/>
              </w:rPr>
              <w:t>Chart.js</w:t>
            </w:r>
          </w:p>
        </w:tc>
        <w:tc>
          <w:tcPr>
            <w:tcW w:type="dxa" w:w="2778"/>
          </w:tcPr>
          <w:p>
            <w:pPr>
              <w:spacing w:after="0" w:line="240" w:lineRule="auto"/>
              <w:jc w:val="left"/>
            </w:pPr>
            <w:r>
              <w:rPr>
                <w:rFonts w:ascii="Times New Roman" w:hAnsi="Times New Roman" w:eastAsia="Times New Roman" w:cs="Times New Roman"/>
                <w:b w:val="0"/>
                <w:i w:val="0"/>
                <w:sz w:val="20"/>
              </w:rPr>
              <w:t>4.5.1 (package.json)</w:t>
            </w:r>
          </w:p>
        </w:tc>
        <w:tc>
          <w:tcPr>
            <w:tcW w:type="dxa" w:w="3628"/>
          </w:tcPr>
          <w:p>
            <w:pPr>
              <w:spacing w:after="0" w:line="240" w:lineRule="auto"/>
              <w:jc w:val="left"/>
            </w:pPr>
            <w:r>
              <w:rPr>
                <w:rFonts w:ascii="Times New Roman" w:hAnsi="Times New Roman" w:eastAsia="Times New Roman" w:cs="Times New Roman"/>
                <w:b w:val="0"/>
                <w:i w:val="0"/>
                <w:sz w:val="20"/>
              </w:rPr>
              <w:t>Graphique du tableau de bord</w:t>
            </w:r>
          </w:p>
        </w:tc>
      </w:tr>
    </w:tbl>
    <w:p>
      <w:pPr>
        <w:spacing w:after="40"/>
      </w:pPr>
    </w:p>
    <w:p>
      <w:pPr>
        <w:pStyle w:val="Heading1"/>
      </w:pPr>
      <w:r>
        <w:t>4. Réalisation technique et validation</w:t>
      </w:r>
    </w:p>
    <w:p>
      <w:pPr>
        <w:pStyle w:val="Heading2"/>
      </w:pPr>
      <w:r>
        <w:t>4.1 Organisation du code</w:t>
      </w:r>
    </w:p>
    <w:p>
      <w:r>
        <w:rPr>
          <w:rFonts w:ascii="Times New Roman" w:hAnsi="Times New Roman" w:eastAsia="Times New Roman" w:cs="Times New Roman"/>
          <w:b w:val="0"/>
          <w:i w:val="0"/>
        </w:rPr>
        <w:t>Le code backend est réparti en paquetages (domain, dto, mapper, repository, service, controller, security, config, exception). Les dépendances sont injectées par constructeur et les DTO sont des records Java immuables.</w:t>
      </w:r>
    </w:p>
    <w:p>
      <w:pPr>
        <w:keepNext/>
      </w:pPr>
      <w:r>
        <w:rPr>
          <w:rFonts w:ascii="Times New Roman" w:hAnsi="Times New Roman" w:eastAsia="Times New Roman" w:cs="Times New Roman"/>
          <w:b w:val="0"/>
          <w:i w:val="0"/>
        </w:rPr>
        <w:t>Les contrôles d'une déclaration de sinistre illustrent l'emplacement des règles métier. Ils sont placés dans la couche service, avant toute écriture en base :</w:t>
      </w:r>
    </w:p>
    <w:p>
      <w:pPr>
        <w:spacing w:line="240" w:lineRule="auto" w:after="0"/>
        <w:ind w:left="283"/>
        <w:jc w:val="left"/>
      </w:pPr>
      <w:r>
        <w:rPr>
          <w:rFonts w:ascii="Courier New" w:hAnsi="Courier New" w:eastAsia="Courier New" w:cs="Courier New"/>
          <w:b w:val="0"/>
          <w:i w:val="0"/>
          <w:sz w:val="19"/>
        </w:rPr>
        <w:t>if (contract.getStatus() != ContractStatus.ACTIVE) {</w:t>
      </w:r>
    </w:p>
    <w:p>
      <w:pPr>
        <w:spacing w:line="240" w:lineRule="auto" w:after="0"/>
        <w:ind w:left="283"/>
        <w:jc w:val="left"/>
      </w:pPr>
      <w:r>
        <w:rPr>
          <w:rFonts w:ascii="Courier New" w:hAnsi="Courier New" w:eastAsia="Courier New" w:cs="Courier New"/>
          <w:b w:val="0"/>
          <w:i w:val="0"/>
          <w:sz w:val="19"/>
        </w:rPr>
        <w:t xml:space="preserve">    throw new BusinessRuleException("Cannot file a claim: Contract is not ACTIVE");</w:t>
      </w:r>
    </w:p>
    <w:p>
      <w:pPr>
        <w:spacing w:line="240" w:lineRule="auto" w:after="0"/>
        <w:ind w:left="283"/>
        <w:jc w:val="left"/>
      </w:pPr>
      <w:r>
        <w:rPr>
          <w:rFonts w:ascii="Courier New" w:hAnsi="Courier New" w:eastAsia="Courier New" w:cs="Courier New"/>
          <w:b w:val="0"/>
          <w:i w:val="0"/>
          <w:sz w:val="19"/>
        </w:rPr>
        <w:t>}</w:t>
      </w:r>
    </w:p>
    <w:p>
      <w:pPr>
        <w:spacing w:line="240" w:lineRule="auto" w:after="0"/>
        <w:ind w:left="283"/>
        <w:jc w:val="left"/>
      </w:pPr>
      <w:r>
        <w:rPr>
          <w:rFonts w:ascii="Courier New" w:hAnsi="Courier New" w:eastAsia="Courier New" w:cs="Courier New"/>
          <w:b w:val="0"/>
          <w:i w:val="0"/>
          <w:sz w:val="19"/>
        </w:rPr>
        <w:t>if (dto.claimDate().isBefore(contract.getStartDate())</w:t>
      </w:r>
    </w:p>
    <w:p>
      <w:pPr>
        <w:spacing w:line="240" w:lineRule="auto" w:after="0"/>
        <w:ind w:left="283"/>
        <w:jc w:val="left"/>
      </w:pPr>
      <w:r>
        <w:rPr>
          <w:rFonts w:ascii="Courier New" w:hAnsi="Courier New" w:eastAsia="Courier New" w:cs="Courier New"/>
          <w:b w:val="0"/>
          <w:i w:val="0"/>
          <w:sz w:val="19"/>
        </w:rPr>
        <w:t xml:space="preserve">        || dto.claimDate().isAfter(contract.getEndDate())) {</w:t>
      </w:r>
    </w:p>
    <w:p>
      <w:pPr>
        <w:spacing w:line="240" w:lineRule="auto" w:after="0"/>
        <w:ind w:left="283"/>
        <w:jc w:val="left"/>
      </w:pPr>
      <w:r>
        <w:rPr>
          <w:rFonts w:ascii="Courier New" w:hAnsi="Courier New" w:eastAsia="Courier New" w:cs="Courier New"/>
          <w:b w:val="0"/>
          <w:i w:val="0"/>
          <w:sz w:val="19"/>
        </w:rPr>
        <w:t xml:space="preserve">    throw new BusinessRuleException("Claim date must be within the contract coverage period");</w:t>
      </w:r>
    </w:p>
    <w:p>
      <w:pPr>
        <w:spacing w:line="240" w:lineRule="auto" w:after="0"/>
        <w:ind w:left="283"/>
        <w:jc w:val="left"/>
      </w:pPr>
      <w:r>
        <w:rPr>
          <w:rFonts w:ascii="Courier New" w:hAnsi="Courier New" w:eastAsia="Courier New" w:cs="Courier New"/>
          <w:b w:val="0"/>
          <w:i w:val="0"/>
          <w:sz w:val="19"/>
        </w:rPr>
        <w:t>}</w:t>
      </w:r>
    </w:p>
    <w:p>
      <w:pPr>
        <w:spacing w:after="40"/>
      </w:pPr>
    </w:p>
    <w:p>
      <w:pPr>
        <w:pStyle w:val="Heading2"/>
      </w:pPr>
      <w:r>
        <w:t>4.2 Chronologie du développement</w:t>
      </w:r>
    </w:p>
    <w:p>
      <w:pPr>
        <w:keepNext/>
      </w:pPr>
      <w:r>
        <w:rPr>
          <w:rFonts w:ascii="Times New Roman" w:hAnsi="Times New Roman" w:eastAsia="Times New Roman" w:cs="Times New Roman"/>
          <w:b w:val="0"/>
          <w:i w:val="0"/>
        </w:rPr>
        <w:t xml:space="preserve">Le tableau </w:t>
      </w:r>
      <w:r>
        <w:fldChar w:fldCharType="begin"/>
      </w:r>
      <w:r>
        <w:instrText xml:space="preserve"> REF ref_tab_chrono \h </w:instrText>
      </w:r>
      <w:r>
        <w:fldChar w:fldCharType="separate"/>
      </w:r>
      <w:r>
        <w:rPr>
          <w:rFonts w:ascii="Times New Roman" w:hAnsi="Times New Roman" w:eastAsia="Times New Roman" w:cs="Times New Roman"/>
          <w:b w:val="0"/>
          <w:i w:val="0"/>
        </w:rPr>
        <w:t>Tableau 3</w:t>
      </w:r>
      <w:r>
        <w:fldChar w:fldCharType="end"/>
      </w:r>
      <w:r>
        <w:rPr>
          <w:rFonts w:ascii="Times New Roman" w:hAnsi="Times New Roman" w:eastAsia="Times New Roman" w:cs="Times New Roman"/>
          <w:b w:val="0"/>
          <w:i w:val="0"/>
        </w:rPr>
        <w:t xml:space="preserve"> regroupe les travaux par périodes, à partir des dates et des messages des commits de la branche principale.</w:t>
      </w:r>
    </w:p>
    <w:p>
      <w:pPr>
        <w:pStyle w:val="Caption"/>
        <w:keepNext/>
        <w:jc w:val="left"/>
      </w:pPr>
      <w:bookmarkStart w:id="105" w:name="ref_tab_chrono"/>
      <w:r>
        <w:rPr>
          <w:rFonts w:ascii="Times New Roman" w:hAnsi="Times New Roman" w:eastAsia="Times New Roman" w:cs="Times New Roman"/>
          <w:b/>
          <w:i w:val="0"/>
          <w:sz w:val="20"/>
        </w:rPr>
        <w:t xml:space="preserve">Tableau </w:t>
      </w:r>
      <w:r>
        <w:rPr>
          <w:sz w:val="20"/>
        </w:rPr>
        <w:fldChar w:fldCharType="begin"/>
      </w:r>
      <w:r>
        <w:instrText xml:space="preserve"> SEQ Tableau \* ARABIC </w:instrText>
      </w:r>
      <w:r>
        <w:rPr>
          <w:sz w:val="20"/>
        </w:rPr>
        <w:fldChar w:fldCharType="separate"/>
      </w:r>
      <w:r>
        <w:rPr>
          <w:rFonts w:ascii="Times New Roman" w:hAnsi="Times New Roman" w:eastAsia="Times New Roman" w:cs="Times New Roman"/>
          <w:b/>
          <w:i w:val="0"/>
          <w:sz w:val="20"/>
        </w:rPr>
        <w:t>3</w:t>
      </w:r>
      <w:r>
        <w:rPr>
          <w:sz w:val="20"/>
        </w:rPr>
        <w:fldChar w:fldCharType="end"/>
      </w:r>
      <w:bookmarkEnd w:id="105"/>
      <w:r>
        <w:rPr>
          <w:rFonts w:ascii="Times New Roman" w:hAnsi="Times New Roman" w:eastAsia="Times New Roman" w:cs="Times New Roman"/>
          <w:b w:val="0"/>
          <w:i w:val="0"/>
          <w:sz w:val="20"/>
        </w:rPr>
        <w:t xml:space="preserve"> — Chronologie des travaux d'après l'historique Git</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1701"/>
            <w:shd w:val="clear" w:color="auto" w:fill="D9D9D9"/>
          </w:tcPr>
          <w:p>
            <w:pPr>
              <w:spacing w:after="0" w:line="240" w:lineRule="auto"/>
              <w:jc w:val="left"/>
            </w:pPr>
            <w:r>
              <w:rPr>
                <w:rFonts w:ascii="Times New Roman" w:hAnsi="Times New Roman" w:eastAsia="Times New Roman" w:cs="Times New Roman"/>
                <w:b/>
                <w:i w:val="0"/>
                <w:sz w:val="20"/>
              </w:rPr>
              <w:t>Période</w:t>
            </w:r>
          </w:p>
        </w:tc>
        <w:tc>
          <w:tcPr>
            <w:tcW w:type="dxa" w:w="6236"/>
            <w:shd w:val="clear" w:color="auto" w:fill="D9D9D9"/>
          </w:tcPr>
          <w:p>
            <w:pPr>
              <w:spacing w:after="0" w:line="240" w:lineRule="auto"/>
              <w:jc w:val="left"/>
            </w:pPr>
            <w:r>
              <w:rPr>
                <w:rFonts w:ascii="Times New Roman" w:hAnsi="Times New Roman" w:eastAsia="Times New Roman" w:cs="Times New Roman"/>
                <w:b/>
                <w:i w:val="0"/>
                <w:sz w:val="20"/>
              </w:rPr>
              <w:t>Travaux observés dans l'historique</w:t>
            </w:r>
          </w:p>
        </w:tc>
        <w:tc>
          <w:tcPr>
            <w:tcW w:type="dxa" w:w="1134"/>
            <w:shd w:val="clear" w:color="auto" w:fill="D9D9D9"/>
          </w:tcPr>
          <w:p>
            <w:pPr>
              <w:spacing w:after="0" w:line="240" w:lineRule="auto"/>
              <w:jc w:val="left"/>
            </w:pPr>
            <w:r>
              <w:rPr>
                <w:rFonts w:ascii="Times New Roman" w:hAnsi="Times New Roman" w:eastAsia="Times New Roman" w:cs="Times New Roman"/>
                <w:b/>
                <w:i w:val="0"/>
                <w:sz w:val="20"/>
              </w:rPr>
              <w:t>Commits</w:t>
            </w:r>
          </w:p>
        </w:tc>
      </w:tr>
      <w:tr>
        <w:tc>
          <w:tcPr>
            <w:tcW w:type="dxa" w:w="1701"/>
          </w:tcPr>
          <w:p>
            <w:pPr>
              <w:spacing w:after="0" w:line="240" w:lineRule="auto"/>
              <w:jc w:val="left"/>
            </w:pPr>
            <w:r>
              <w:rPr>
                <w:rFonts w:ascii="Times New Roman" w:hAnsi="Times New Roman" w:eastAsia="Times New Roman" w:cs="Times New Roman"/>
                <w:b w:val="0"/>
                <w:i w:val="0"/>
                <w:sz w:val="20"/>
              </w:rPr>
              <w:t>5 au 8 juillet</w:t>
            </w:r>
          </w:p>
        </w:tc>
        <w:tc>
          <w:tcPr>
            <w:tcW w:type="dxa" w:w="6236"/>
          </w:tcPr>
          <w:p>
            <w:pPr>
              <w:spacing w:after="0" w:line="240" w:lineRule="auto"/>
              <w:jc w:val="left"/>
            </w:pPr>
            <w:r>
              <w:rPr>
                <w:rFonts w:ascii="Times New Roman" w:hAnsi="Times New Roman" w:eastAsia="Times New Roman" w:cs="Times New Roman"/>
                <w:b w:val="0"/>
                <w:i w:val="0"/>
                <w:sz w:val="20"/>
              </w:rPr>
              <w:t>Initialisation du projet Spring Boot ; configuration de PostgreSQL ; entités Client, Contrat et Sinistre, CRUD des clients ;  gestion globale des erreurs ; OpenAPI ; authentification JWT et Spring Security ; données de démonstration ; README ; passage du code en anglais</w:t>
            </w:r>
          </w:p>
        </w:tc>
        <w:tc>
          <w:tcPr>
            <w:tcW w:type="dxa" w:w="1134"/>
          </w:tcPr>
          <w:p>
            <w:pPr>
              <w:spacing w:after="0" w:line="240" w:lineRule="auto"/>
              <w:jc w:val="left"/>
            </w:pPr>
            <w:r>
              <w:rPr>
                <w:rFonts w:ascii="Times New Roman" w:hAnsi="Times New Roman" w:eastAsia="Times New Roman" w:cs="Times New Roman"/>
                <w:b w:val="0"/>
                <w:i w:val="0"/>
                <w:sz w:val="20"/>
              </w:rPr>
              <w:t>14</w:t>
            </w:r>
          </w:p>
        </w:tc>
      </w:tr>
      <w:tr>
        <w:tc>
          <w:tcPr>
            <w:tcW w:type="dxa" w:w="1701"/>
          </w:tcPr>
          <w:p>
            <w:pPr>
              <w:spacing w:after="0" w:line="240" w:lineRule="auto"/>
              <w:jc w:val="left"/>
            </w:pPr>
            <w:r>
              <w:rPr>
                <w:rFonts w:ascii="Times New Roman" w:hAnsi="Times New Roman" w:eastAsia="Times New Roman" w:cs="Times New Roman"/>
                <w:b w:val="0"/>
                <w:i w:val="0"/>
                <w:sz w:val="20"/>
              </w:rPr>
              <w:t>13 au 15 juillet</w:t>
            </w:r>
          </w:p>
        </w:tc>
        <w:tc>
          <w:tcPr>
            <w:tcW w:type="dxa" w:w="6236"/>
          </w:tcPr>
          <w:p>
            <w:pPr>
              <w:spacing w:after="0" w:line="240" w:lineRule="auto"/>
              <w:jc w:val="left"/>
            </w:pPr>
            <w:r>
              <w:rPr>
                <w:rFonts w:ascii="Times New Roman" w:hAnsi="Times New Roman" w:eastAsia="Times New Roman" w:cs="Times New Roman"/>
                <w:b w:val="0"/>
                <w:i w:val="0"/>
                <w:sz w:val="20"/>
              </w:rPr>
              <w:t>Enrichissement du modèle (client, contrat, sinistre) ; règles métier sur les sinistres ; mise à jour des clients ; suppression de client avec contrôle des contrats ; mise à jour des contrats ; liste des sinistres par contrat ; premier test unitaire</w:t>
            </w:r>
          </w:p>
        </w:tc>
        <w:tc>
          <w:tcPr>
            <w:tcW w:type="dxa" w:w="1134"/>
          </w:tcPr>
          <w:p>
            <w:pPr>
              <w:spacing w:after="0" w:line="240" w:lineRule="auto"/>
              <w:jc w:val="left"/>
            </w:pPr>
            <w:r>
              <w:rPr>
                <w:rFonts w:ascii="Times New Roman" w:hAnsi="Times New Roman" w:eastAsia="Times New Roman" w:cs="Times New Roman"/>
                <w:b w:val="0"/>
                <w:i w:val="0"/>
                <w:sz w:val="20"/>
              </w:rPr>
              <w:t>9</w:t>
            </w:r>
          </w:p>
        </w:tc>
      </w:tr>
      <w:tr>
        <w:tc>
          <w:tcPr>
            <w:tcW w:type="dxa" w:w="1701"/>
          </w:tcPr>
          <w:p>
            <w:pPr>
              <w:spacing w:after="0" w:line="240" w:lineRule="auto"/>
              <w:jc w:val="left"/>
            </w:pPr>
            <w:r>
              <w:rPr>
                <w:rFonts w:ascii="Times New Roman" w:hAnsi="Times New Roman" w:eastAsia="Times New Roman" w:cs="Times New Roman"/>
                <w:b w:val="0"/>
                <w:i w:val="0"/>
                <w:sz w:val="20"/>
              </w:rPr>
              <w:t>21 au 22 juillet</w:t>
            </w:r>
          </w:p>
        </w:tc>
        <w:tc>
          <w:tcPr>
            <w:tcW w:type="dxa" w:w="6236"/>
          </w:tcPr>
          <w:p>
            <w:pPr>
              <w:spacing w:after="0" w:line="240" w:lineRule="auto"/>
              <w:jc w:val="left"/>
            </w:pPr>
            <w:r>
              <w:rPr>
                <w:rFonts w:ascii="Times New Roman" w:hAnsi="Times New Roman" w:eastAsia="Times New Roman" w:cs="Times New Roman"/>
                <w:b w:val="0"/>
                <w:i w:val="0"/>
                <w:sz w:val="20"/>
              </w:rPr>
              <w:t>Interface Angular : service d'authentification, intercepteur JWT, garde de route, liste et création de clients</w:t>
            </w:r>
          </w:p>
        </w:tc>
        <w:tc>
          <w:tcPr>
            <w:tcW w:type="dxa" w:w="1134"/>
          </w:tcPr>
          <w:p>
            <w:pPr>
              <w:spacing w:after="0" w:line="240" w:lineRule="auto"/>
              <w:jc w:val="left"/>
            </w:pPr>
            <w:r>
              <w:rPr>
                <w:rFonts w:ascii="Times New Roman" w:hAnsi="Times New Roman" w:eastAsia="Times New Roman" w:cs="Times New Roman"/>
                <w:b w:val="0"/>
                <w:i w:val="0"/>
                <w:sz w:val="20"/>
              </w:rPr>
              <w:t>6</w:t>
            </w:r>
          </w:p>
        </w:tc>
      </w:tr>
      <w:tr>
        <w:tc>
          <w:tcPr>
            <w:tcW w:type="dxa" w:w="1701"/>
          </w:tcPr>
          <w:p>
            <w:pPr>
              <w:spacing w:after="0" w:line="240" w:lineRule="auto"/>
              <w:jc w:val="left"/>
            </w:pPr>
            <w:r>
              <w:rPr>
                <w:rFonts w:ascii="Times New Roman" w:hAnsi="Times New Roman" w:eastAsia="Times New Roman" w:cs="Times New Roman"/>
                <w:b w:val="0"/>
                <w:i w:val="0"/>
                <w:sz w:val="20"/>
              </w:rPr>
              <w:t>29 au 30 juillet</w:t>
            </w:r>
          </w:p>
        </w:tc>
        <w:tc>
          <w:tcPr>
            <w:tcW w:type="dxa" w:w="6236"/>
          </w:tcPr>
          <w:p>
            <w:pPr>
              <w:spacing w:after="0" w:line="240" w:lineRule="auto"/>
              <w:jc w:val="left"/>
            </w:pPr>
            <w:r>
              <w:rPr>
                <w:rFonts w:ascii="Times New Roman" w:hAnsi="Times New Roman" w:eastAsia="Times New Roman" w:cs="Times New Roman"/>
                <w:b w:val="0"/>
                <w:i w:val="0"/>
                <w:sz w:val="20"/>
              </w:rPr>
              <w:t>Barre de navigation et tableau de bord ; règles métier et archivage logique des clients ; écrans contrats et sinistres ; formulaire de déclaration de sinistre ; contrôle d'accès par rôle côté backend ; gestion des utilisateurs</w:t>
            </w:r>
          </w:p>
        </w:tc>
        <w:tc>
          <w:tcPr>
            <w:tcW w:type="dxa" w:w="1134"/>
          </w:tcPr>
          <w:p>
            <w:pPr>
              <w:spacing w:after="0" w:line="240" w:lineRule="auto"/>
              <w:jc w:val="left"/>
            </w:pPr>
            <w:r>
              <w:rPr>
                <w:rFonts w:ascii="Times New Roman" w:hAnsi="Times New Roman" w:eastAsia="Times New Roman" w:cs="Times New Roman"/>
                <w:b w:val="0"/>
                <w:i w:val="0"/>
                <w:sz w:val="20"/>
              </w:rPr>
              <w:t>7</w:t>
            </w:r>
          </w:p>
        </w:tc>
      </w:tr>
    </w:tbl>
    <w:p>
      <w:pPr>
        <w:spacing w:after="40"/>
      </w:pPr>
    </w:p>
    <w:p>
      <w:r>
        <w:rPr>
          <w:rFonts w:ascii="Times New Roman" w:hAnsi="Times New Roman" w:eastAsia="Times New Roman" w:cs="Times New Roman"/>
          <w:b w:val="0"/>
          <w:i w:val="0"/>
        </w:rPr>
        <w:t>Aucun commit n'apparaît entre le 9 et le 12 juillet, ni entre le 16 et le 20, ni entre le 23 et le 28 juillet. Les dates marquent l'enregistrement des modifications, non le moment où chaque tâche a été accomplie.</w:t>
      </w:r>
    </w:p>
    <w:p>
      <w:pPr>
        <w:pStyle w:val="Heading2"/>
      </w:pPr>
      <w:r>
        <w:t>4.3 Authentification et contrôle d'accès</w:t>
      </w:r>
    </w:p>
    <w:p>
      <w:r>
        <w:rPr>
          <w:rFonts w:ascii="Times New Roman" w:hAnsi="Times New Roman" w:eastAsia="Times New Roman" w:cs="Times New Roman"/>
          <w:b w:val="0"/>
          <w:i w:val="0"/>
        </w:rPr>
        <w:t>L'authentification repose sur des jetons JWT signés par une clé HMAC. Le point d'entrée POST /api/auth/login vérifie le couple identifiant et mot de passe, puis renvoie un jeton valable 24 heures. Les mots de passe sont hachés par BCrypt avant d'être enregistrés. Pour chaque requête suivante, le filtre JwtAuthFilter lit l'en-tête Authorization, valide le jeton et renseigne le contexte de sécurité. La session est STATELESS : le serveur ne conserve aucun état entre deux requêtes. La protection CSRF est désactivée, le jeton étant transmis dans un en-tête et non dans un cookie.</w:t>
      </w:r>
    </w:p>
    <w:p>
      <w:r>
        <w:rPr>
          <w:rFonts w:ascii="Times New Roman" w:hAnsi="Times New Roman" w:eastAsia="Times New Roman" w:cs="Times New Roman"/>
          <w:b w:val="0"/>
          <w:i w:val="0"/>
        </w:rPr>
        <w:t>La configuration SecurityConfig applique les règles suivantes, par chemin : les routes /api/auth/**, la documentation Swagger et OpenAPI sont publiques ; /api/users/** est réservé au rôle ADMIN ; /api/clients/**, /api/contracts/** et /api/claims/** sont accessibles aux rôles ADMIN et AGENT ; toute autre route exige une authentification.</w:t>
      </w:r>
    </w:p>
    <w:p>
      <w:r>
        <w:rPr>
          <w:rFonts w:ascii="Times New Roman" w:hAnsi="Times New Roman" w:eastAsia="Times New Roman" w:cs="Times New Roman"/>
          <w:b w:val="0"/>
          <w:i w:val="0"/>
        </w:rPr>
        <w:t>Des annotations @PreAuthorize figurent également sur plusieurs méthodes des contrôleurs. L'annotation @EnableMethodSecurity n'est toutefois déclarée nulle part : ces annotations ne sont donc pas évaluées. Un compte AGENT peut ainsi appeler DELETE /api/clients/{id} et PUT /api/contracts/{id}, alors que ces méthodes sont annotées pour le seul rôle ADMIN (section 5.2).</w:t>
      </w:r>
    </w:p>
    <w:p>
      <w:r>
        <w:rPr>
          <w:rFonts w:ascii="Times New Roman" w:hAnsi="Times New Roman" w:eastAsia="Times New Roman" w:cs="Times New Roman"/>
          <w:b w:val="0"/>
          <w:i w:val="0"/>
        </w:rPr>
        <w:t>Enfin, la route POST /api/auth/register est publique et accepte un champ role dans le corps de la requête. D'après la lecture du code, un appel sans authentification peut donc créer un compte ADMIN. Ce point n'a pas été testé à l'exécution, mais il constitue la limite la plus importante du projet (section 5.2).</w:t>
      </w:r>
    </w:p>
    <w:p>
      <w:pPr>
        <w:pStyle w:val="Heading2"/>
      </w:pPr>
      <w:r>
        <w:t>4.4 Gestion des clients, des contrats et des sinistres</w:t>
      </w:r>
    </w:p>
    <w:p>
      <w:pPr>
        <w:keepNext/>
      </w:pPr>
      <w:r>
        <w:rPr>
          <w:rFonts w:ascii="Times New Roman" w:hAnsi="Times New Roman" w:eastAsia="Times New Roman" w:cs="Times New Roman"/>
          <w:b w:val="0"/>
          <w:i w:val="0"/>
        </w:rPr>
        <w:t xml:space="preserve">L'API expose 17 points d'accès, détaillés en annexe A. Le serveur y fait respecter les règles du tableau </w:t>
      </w:r>
      <w:r>
        <w:fldChar w:fldCharType="begin"/>
      </w:r>
      <w:r>
        <w:instrText xml:space="preserve"> REF ref_tab_regles \h </w:instrText>
      </w:r>
      <w:r>
        <w:fldChar w:fldCharType="separate"/>
      </w:r>
      <w:r>
        <w:rPr>
          <w:rFonts w:ascii="Times New Roman" w:hAnsi="Times New Roman" w:eastAsia="Times New Roman" w:cs="Times New Roman"/>
          <w:b w:val="0"/>
          <w:i w:val="0"/>
        </w:rPr>
        <w:t>Tableau 4</w:t>
      </w:r>
      <w:r>
        <w:fldChar w:fldCharType="end"/>
      </w:r>
      <w:r>
        <w:rPr>
          <w:rFonts w:ascii="Times New Roman" w:hAnsi="Times New Roman" w:eastAsia="Times New Roman" w:cs="Times New Roman"/>
          <w:b w:val="0"/>
          <w:i w:val="0"/>
        </w:rPr>
        <w:t>. Ces contrôles sont exécutés dans la couche service, indépendamment du client qui appelle l'API.</w:t>
      </w:r>
    </w:p>
    <w:p>
      <w:pPr>
        <w:pStyle w:val="Caption"/>
        <w:keepNext/>
        <w:jc w:val="left"/>
      </w:pPr>
      <w:bookmarkStart w:id="106" w:name="ref_tab_regles"/>
      <w:r>
        <w:rPr>
          <w:rFonts w:ascii="Times New Roman" w:hAnsi="Times New Roman" w:eastAsia="Times New Roman" w:cs="Times New Roman"/>
          <w:b/>
          <w:i w:val="0"/>
          <w:sz w:val="20"/>
        </w:rPr>
        <w:t xml:space="preserve">Tableau </w:t>
      </w:r>
      <w:r>
        <w:rPr>
          <w:sz w:val="20"/>
        </w:rPr>
        <w:fldChar w:fldCharType="begin"/>
      </w:r>
      <w:r>
        <w:instrText xml:space="preserve"> SEQ Tableau \* ARABIC </w:instrText>
      </w:r>
      <w:r>
        <w:rPr>
          <w:sz w:val="20"/>
        </w:rPr>
        <w:fldChar w:fldCharType="separate"/>
      </w:r>
      <w:r>
        <w:rPr>
          <w:rFonts w:ascii="Times New Roman" w:hAnsi="Times New Roman" w:eastAsia="Times New Roman" w:cs="Times New Roman"/>
          <w:b/>
          <w:i w:val="0"/>
          <w:sz w:val="20"/>
        </w:rPr>
        <w:t>4</w:t>
      </w:r>
      <w:r>
        <w:rPr>
          <w:sz w:val="20"/>
        </w:rPr>
        <w:fldChar w:fldCharType="end"/>
      </w:r>
      <w:bookmarkEnd w:id="106"/>
      <w:r>
        <w:rPr>
          <w:rFonts w:ascii="Times New Roman" w:hAnsi="Times New Roman" w:eastAsia="Times New Roman" w:cs="Times New Roman"/>
          <w:b w:val="0"/>
          <w:i w:val="0"/>
          <w:sz w:val="20"/>
        </w:rPr>
        <w:t xml:space="preserve"> — Règles métier et emplacement dans le code</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794"/>
            <w:shd w:val="clear" w:color="auto" w:fill="D9D9D9"/>
          </w:tcPr>
          <w:p>
            <w:pPr>
              <w:spacing w:after="0" w:line="240" w:lineRule="auto"/>
              <w:jc w:val="left"/>
            </w:pPr>
            <w:r>
              <w:rPr>
                <w:rFonts w:ascii="Times New Roman" w:hAnsi="Times New Roman" w:eastAsia="Times New Roman" w:cs="Times New Roman"/>
                <w:b/>
                <w:i w:val="0"/>
                <w:sz w:val="20"/>
              </w:rPr>
              <w:t>Réf.</w:t>
            </w:r>
          </w:p>
        </w:tc>
        <w:tc>
          <w:tcPr>
            <w:tcW w:type="dxa" w:w="4195"/>
            <w:shd w:val="clear" w:color="auto" w:fill="D9D9D9"/>
          </w:tcPr>
          <w:p>
            <w:pPr>
              <w:spacing w:after="0" w:line="240" w:lineRule="auto"/>
              <w:jc w:val="left"/>
            </w:pPr>
            <w:r>
              <w:rPr>
                <w:rFonts w:ascii="Times New Roman" w:hAnsi="Times New Roman" w:eastAsia="Times New Roman" w:cs="Times New Roman"/>
                <w:b/>
                <w:i w:val="0"/>
                <w:sz w:val="20"/>
              </w:rPr>
              <w:t>Règle</w:t>
            </w:r>
          </w:p>
        </w:tc>
        <w:tc>
          <w:tcPr>
            <w:tcW w:type="dxa" w:w="2494"/>
            <w:shd w:val="clear" w:color="auto" w:fill="D9D9D9"/>
          </w:tcPr>
          <w:p>
            <w:pPr>
              <w:spacing w:after="0" w:line="240" w:lineRule="auto"/>
              <w:jc w:val="left"/>
            </w:pPr>
            <w:r>
              <w:rPr>
                <w:rFonts w:ascii="Times New Roman" w:hAnsi="Times New Roman" w:eastAsia="Times New Roman" w:cs="Times New Roman"/>
                <w:b/>
                <w:i w:val="0"/>
                <w:sz w:val="20"/>
              </w:rPr>
              <w:t>Emplacement</w:t>
            </w:r>
          </w:p>
        </w:tc>
        <w:tc>
          <w:tcPr>
            <w:tcW w:type="dxa" w:w="1587"/>
            <w:shd w:val="clear" w:color="auto" w:fill="D9D9D9"/>
          </w:tcPr>
          <w:p>
            <w:pPr>
              <w:spacing w:after="0" w:line="240" w:lineRule="auto"/>
              <w:jc w:val="left"/>
            </w:pPr>
            <w:r>
              <w:rPr>
                <w:rFonts w:ascii="Times New Roman" w:hAnsi="Times New Roman" w:eastAsia="Times New Roman" w:cs="Times New Roman"/>
                <w:b/>
                <w:i w:val="0"/>
                <w:sz w:val="20"/>
              </w:rPr>
              <w:t>Comportement</w:t>
            </w:r>
          </w:p>
        </w:tc>
      </w:tr>
      <w:tr>
        <w:tc>
          <w:tcPr>
            <w:tcW w:type="dxa" w:w="794"/>
          </w:tcPr>
          <w:p>
            <w:pPr>
              <w:spacing w:after="0" w:line="240" w:lineRule="auto"/>
              <w:jc w:val="left"/>
            </w:pPr>
            <w:r>
              <w:rPr>
                <w:rFonts w:ascii="Times New Roman" w:hAnsi="Times New Roman" w:eastAsia="Times New Roman" w:cs="Times New Roman"/>
                <w:b w:val="0"/>
                <w:i w:val="0"/>
                <w:sz w:val="20"/>
              </w:rPr>
              <w:t>RM1</w:t>
            </w:r>
          </w:p>
        </w:tc>
        <w:tc>
          <w:tcPr>
            <w:tcW w:type="dxa" w:w="4195"/>
          </w:tcPr>
          <w:p>
            <w:pPr>
              <w:spacing w:after="0" w:line="240" w:lineRule="auto"/>
              <w:jc w:val="left"/>
            </w:pPr>
            <w:r>
              <w:rPr>
                <w:rFonts w:ascii="Times New Roman" w:hAnsi="Times New Roman" w:eastAsia="Times New Roman" w:cs="Times New Roman"/>
                <w:b w:val="0"/>
                <w:i w:val="0"/>
                <w:sz w:val="20"/>
              </w:rPr>
              <w:t>Date de fin de contrat postérieure à la date de début (à la création)</w:t>
            </w:r>
          </w:p>
        </w:tc>
        <w:tc>
          <w:tcPr>
            <w:tcW w:type="dxa" w:w="2494"/>
          </w:tcPr>
          <w:p>
            <w:pPr>
              <w:spacing w:after="0" w:line="240" w:lineRule="auto"/>
              <w:jc w:val="left"/>
            </w:pPr>
            <w:r>
              <w:rPr>
                <w:rFonts w:ascii="Times New Roman" w:hAnsi="Times New Roman" w:eastAsia="Times New Roman" w:cs="Times New Roman"/>
                <w:b w:val="0"/>
                <w:i w:val="0"/>
                <w:sz w:val="20"/>
              </w:rPr>
              <w:t>ContractService</w:t>
            </w:r>
          </w:p>
        </w:tc>
        <w:tc>
          <w:tcPr>
            <w:tcW w:type="dxa" w:w="1587"/>
          </w:tcPr>
          <w:p>
            <w:pPr>
              <w:spacing w:after="0" w:line="240" w:lineRule="auto"/>
              <w:jc w:val="left"/>
            </w:pPr>
            <w:r>
              <w:rPr>
                <w:rFonts w:ascii="Times New Roman" w:hAnsi="Times New Roman" w:eastAsia="Times New Roman" w:cs="Times New Roman"/>
                <w:b w:val="0"/>
                <w:i w:val="0"/>
                <w:sz w:val="20"/>
              </w:rPr>
              <w:t>Erreur 400</w:t>
            </w:r>
          </w:p>
        </w:tc>
      </w:tr>
      <w:tr>
        <w:tc>
          <w:tcPr>
            <w:tcW w:type="dxa" w:w="794"/>
          </w:tcPr>
          <w:p>
            <w:pPr>
              <w:spacing w:after="0" w:line="240" w:lineRule="auto"/>
              <w:jc w:val="left"/>
            </w:pPr>
            <w:r>
              <w:rPr>
                <w:rFonts w:ascii="Times New Roman" w:hAnsi="Times New Roman" w:eastAsia="Times New Roman" w:cs="Times New Roman"/>
                <w:b w:val="0"/>
                <w:i w:val="0"/>
                <w:sz w:val="20"/>
              </w:rPr>
              <w:t>RM2</w:t>
            </w:r>
          </w:p>
        </w:tc>
        <w:tc>
          <w:tcPr>
            <w:tcW w:type="dxa" w:w="4195"/>
          </w:tcPr>
          <w:p>
            <w:pPr>
              <w:spacing w:after="0" w:line="240" w:lineRule="auto"/>
              <w:jc w:val="left"/>
            </w:pPr>
            <w:r>
              <w:rPr>
                <w:rFonts w:ascii="Times New Roman" w:hAnsi="Times New Roman" w:eastAsia="Times New Roman" w:cs="Times New Roman"/>
                <w:b w:val="0"/>
                <w:i w:val="0"/>
                <w:sz w:val="20"/>
              </w:rPr>
              <w:t>Contrat créé au statut ACTIVE, avec numéro de police généré par le serveur</w:t>
            </w:r>
          </w:p>
        </w:tc>
        <w:tc>
          <w:tcPr>
            <w:tcW w:type="dxa" w:w="2494"/>
          </w:tcPr>
          <w:p>
            <w:pPr>
              <w:spacing w:after="0" w:line="240" w:lineRule="auto"/>
              <w:jc w:val="left"/>
            </w:pPr>
            <w:r>
              <w:rPr>
                <w:rFonts w:ascii="Times New Roman" w:hAnsi="Times New Roman" w:eastAsia="Times New Roman" w:cs="Times New Roman"/>
                <w:b w:val="0"/>
                <w:i w:val="0"/>
                <w:sz w:val="20"/>
              </w:rPr>
              <w:t>ContractService</w:t>
            </w:r>
          </w:p>
        </w:tc>
        <w:tc>
          <w:tcPr>
            <w:tcW w:type="dxa" w:w="1587"/>
          </w:tcPr>
          <w:p>
            <w:pPr>
              <w:spacing w:after="0" w:line="240" w:lineRule="auto"/>
              <w:jc w:val="left"/>
            </w:pPr>
            <w:r>
              <w:rPr>
                <w:rFonts w:ascii="Times New Roman" w:hAnsi="Times New Roman" w:eastAsia="Times New Roman" w:cs="Times New Roman"/>
                <w:b w:val="0"/>
                <w:i w:val="0"/>
                <w:sz w:val="20"/>
              </w:rPr>
              <w:t>Valeurs imposées</w:t>
            </w:r>
          </w:p>
        </w:tc>
      </w:tr>
      <w:tr>
        <w:tc>
          <w:tcPr>
            <w:tcW w:type="dxa" w:w="794"/>
          </w:tcPr>
          <w:p>
            <w:pPr>
              <w:spacing w:after="0" w:line="240" w:lineRule="auto"/>
              <w:jc w:val="left"/>
            </w:pPr>
            <w:r>
              <w:rPr>
                <w:rFonts w:ascii="Times New Roman" w:hAnsi="Times New Roman" w:eastAsia="Times New Roman" w:cs="Times New Roman"/>
                <w:b w:val="0"/>
                <w:i w:val="0"/>
                <w:sz w:val="20"/>
              </w:rPr>
              <w:t>RM3</w:t>
            </w:r>
          </w:p>
        </w:tc>
        <w:tc>
          <w:tcPr>
            <w:tcW w:type="dxa" w:w="4195"/>
          </w:tcPr>
          <w:p>
            <w:pPr>
              <w:spacing w:after="0" w:line="240" w:lineRule="auto"/>
              <w:jc w:val="left"/>
            </w:pPr>
            <w:r>
              <w:rPr>
                <w:rFonts w:ascii="Times New Roman" w:hAnsi="Times New Roman" w:eastAsia="Times New Roman" w:cs="Times New Roman"/>
                <w:b w:val="0"/>
                <w:i w:val="0"/>
                <w:sz w:val="20"/>
              </w:rPr>
              <w:t>Statut de contrat valide lors de la mise à jour</w:t>
            </w:r>
          </w:p>
        </w:tc>
        <w:tc>
          <w:tcPr>
            <w:tcW w:type="dxa" w:w="2494"/>
          </w:tcPr>
          <w:p>
            <w:pPr>
              <w:spacing w:after="0" w:line="240" w:lineRule="auto"/>
              <w:jc w:val="left"/>
            </w:pPr>
            <w:r>
              <w:rPr>
                <w:rFonts w:ascii="Times New Roman" w:hAnsi="Times New Roman" w:eastAsia="Times New Roman" w:cs="Times New Roman"/>
                <w:b w:val="0"/>
                <w:i w:val="0"/>
                <w:sz w:val="20"/>
              </w:rPr>
              <w:t>ContractService</w:t>
            </w:r>
          </w:p>
        </w:tc>
        <w:tc>
          <w:tcPr>
            <w:tcW w:type="dxa" w:w="1587"/>
          </w:tcPr>
          <w:p>
            <w:pPr>
              <w:spacing w:after="0" w:line="240" w:lineRule="auto"/>
              <w:jc w:val="left"/>
            </w:pPr>
            <w:r>
              <w:rPr>
                <w:rFonts w:ascii="Times New Roman" w:hAnsi="Times New Roman" w:eastAsia="Times New Roman" w:cs="Times New Roman"/>
                <w:b w:val="0"/>
                <w:i w:val="0"/>
                <w:sz w:val="20"/>
              </w:rPr>
              <w:t>Erreur 400</w:t>
            </w:r>
          </w:p>
        </w:tc>
      </w:tr>
      <w:tr>
        <w:tc>
          <w:tcPr>
            <w:tcW w:type="dxa" w:w="794"/>
          </w:tcPr>
          <w:p>
            <w:pPr>
              <w:spacing w:after="0" w:line="240" w:lineRule="auto"/>
              <w:jc w:val="left"/>
            </w:pPr>
            <w:r>
              <w:rPr>
                <w:rFonts w:ascii="Times New Roman" w:hAnsi="Times New Roman" w:eastAsia="Times New Roman" w:cs="Times New Roman"/>
                <w:b w:val="0"/>
                <w:i w:val="0"/>
                <w:sz w:val="20"/>
              </w:rPr>
              <w:t>RM4</w:t>
            </w:r>
          </w:p>
        </w:tc>
        <w:tc>
          <w:tcPr>
            <w:tcW w:type="dxa" w:w="4195"/>
          </w:tcPr>
          <w:p>
            <w:pPr>
              <w:spacing w:after="0" w:line="240" w:lineRule="auto"/>
              <w:jc w:val="left"/>
            </w:pPr>
            <w:r>
              <w:rPr>
                <w:rFonts w:ascii="Times New Roman" w:hAnsi="Times New Roman" w:eastAsia="Times New Roman" w:cs="Times New Roman"/>
                <w:b w:val="0"/>
                <w:i w:val="0"/>
                <w:sz w:val="20"/>
              </w:rPr>
              <w:t>Sinistre refusé si le contrat n'est pas ACTIVE</w:t>
            </w:r>
          </w:p>
        </w:tc>
        <w:tc>
          <w:tcPr>
            <w:tcW w:type="dxa" w:w="2494"/>
          </w:tcPr>
          <w:p>
            <w:pPr>
              <w:spacing w:after="0" w:line="240" w:lineRule="auto"/>
              <w:jc w:val="left"/>
            </w:pPr>
            <w:r>
              <w:rPr>
                <w:rFonts w:ascii="Times New Roman" w:hAnsi="Times New Roman" w:eastAsia="Times New Roman" w:cs="Times New Roman"/>
                <w:b w:val="0"/>
                <w:i w:val="0"/>
                <w:sz w:val="20"/>
              </w:rPr>
              <w:t>ClaimService</w:t>
            </w:r>
          </w:p>
        </w:tc>
        <w:tc>
          <w:tcPr>
            <w:tcW w:type="dxa" w:w="1587"/>
          </w:tcPr>
          <w:p>
            <w:pPr>
              <w:spacing w:after="0" w:line="240" w:lineRule="auto"/>
              <w:jc w:val="left"/>
            </w:pPr>
            <w:r>
              <w:rPr>
                <w:rFonts w:ascii="Times New Roman" w:hAnsi="Times New Roman" w:eastAsia="Times New Roman" w:cs="Times New Roman"/>
                <w:b w:val="0"/>
                <w:i w:val="0"/>
                <w:sz w:val="20"/>
              </w:rPr>
              <w:t>Erreur 400</w:t>
            </w:r>
          </w:p>
        </w:tc>
      </w:tr>
      <w:tr>
        <w:tc>
          <w:tcPr>
            <w:tcW w:type="dxa" w:w="794"/>
          </w:tcPr>
          <w:p>
            <w:pPr>
              <w:spacing w:after="0" w:line="240" w:lineRule="auto"/>
              <w:jc w:val="left"/>
            </w:pPr>
            <w:r>
              <w:rPr>
                <w:rFonts w:ascii="Times New Roman" w:hAnsi="Times New Roman" w:eastAsia="Times New Roman" w:cs="Times New Roman"/>
                <w:b w:val="0"/>
                <w:i w:val="0"/>
                <w:sz w:val="20"/>
              </w:rPr>
              <w:t>RM5</w:t>
            </w:r>
          </w:p>
        </w:tc>
        <w:tc>
          <w:tcPr>
            <w:tcW w:type="dxa" w:w="4195"/>
          </w:tcPr>
          <w:p>
            <w:pPr>
              <w:spacing w:after="0" w:line="240" w:lineRule="auto"/>
              <w:jc w:val="left"/>
            </w:pPr>
            <w:r>
              <w:rPr>
                <w:rFonts w:ascii="Times New Roman" w:hAnsi="Times New Roman" w:eastAsia="Times New Roman" w:cs="Times New Roman"/>
                <w:b w:val="0"/>
                <w:i w:val="0"/>
                <w:sz w:val="20"/>
              </w:rPr>
              <w:t>Date de survenance comprise dans la période de couverture</w:t>
            </w:r>
          </w:p>
        </w:tc>
        <w:tc>
          <w:tcPr>
            <w:tcW w:type="dxa" w:w="2494"/>
          </w:tcPr>
          <w:p>
            <w:pPr>
              <w:spacing w:after="0" w:line="240" w:lineRule="auto"/>
              <w:jc w:val="left"/>
            </w:pPr>
            <w:r>
              <w:rPr>
                <w:rFonts w:ascii="Times New Roman" w:hAnsi="Times New Roman" w:eastAsia="Times New Roman" w:cs="Times New Roman"/>
                <w:b w:val="0"/>
                <w:i w:val="0"/>
                <w:sz w:val="20"/>
              </w:rPr>
              <w:t>ClaimService</w:t>
            </w:r>
          </w:p>
        </w:tc>
        <w:tc>
          <w:tcPr>
            <w:tcW w:type="dxa" w:w="1587"/>
          </w:tcPr>
          <w:p>
            <w:pPr>
              <w:spacing w:after="0" w:line="240" w:lineRule="auto"/>
              <w:jc w:val="left"/>
            </w:pPr>
            <w:r>
              <w:rPr>
                <w:rFonts w:ascii="Times New Roman" w:hAnsi="Times New Roman" w:eastAsia="Times New Roman" w:cs="Times New Roman"/>
                <w:b w:val="0"/>
                <w:i w:val="0"/>
                <w:sz w:val="20"/>
              </w:rPr>
              <w:t>Erreur 400</w:t>
            </w:r>
          </w:p>
        </w:tc>
      </w:tr>
      <w:tr>
        <w:tc>
          <w:tcPr>
            <w:tcW w:type="dxa" w:w="794"/>
          </w:tcPr>
          <w:p>
            <w:pPr>
              <w:spacing w:after="0" w:line="240" w:lineRule="auto"/>
              <w:jc w:val="left"/>
            </w:pPr>
            <w:r>
              <w:rPr>
                <w:rFonts w:ascii="Times New Roman" w:hAnsi="Times New Roman" w:eastAsia="Times New Roman" w:cs="Times New Roman"/>
                <w:b w:val="0"/>
                <w:i w:val="0"/>
                <w:sz w:val="20"/>
              </w:rPr>
              <w:t>RM6</w:t>
            </w:r>
          </w:p>
        </w:tc>
        <w:tc>
          <w:tcPr>
            <w:tcW w:type="dxa" w:w="4195"/>
          </w:tcPr>
          <w:p>
            <w:pPr>
              <w:spacing w:after="0" w:line="240" w:lineRule="auto"/>
              <w:jc w:val="left"/>
            </w:pPr>
            <w:r>
              <w:rPr>
                <w:rFonts w:ascii="Times New Roman" w:hAnsi="Times New Roman" w:eastAsia="Times New Roman" w:cs="Times New Roman"/>
                <w:b w:val="0"/>
                <w:i w:val="0"/>
                <w:sz w:val="20"/>
              </w:rPr>
              <w:t>Sinistre créé en SUBMITTED, remboursement à zéro, date de déclaration fixée par le serveur</w:t>
            </w:r>
          </w:p>
        </w:tc>
        <w:tc>
          <w:tcPr>
            <w:tcW w:type="dxa" w:w="2494"/>
          </w:tcPr>
          <w:p>
            <w:pPr>
              <w:spacing w:after="0" w:line="240" w:lineRule="auto"/>
              <w:jc w:val="left"/>
            </w:pPr>
            <w:r>
              <w:rPr>
                <w:rFonts w:ascii="Times New Roman" w:hAnsi="Times New Roman" w:eastAsia="Times New Roman" w:cs="Times New Roman"/>
                <w:b w:val="0"/>
                <w:i w:val="0"/>
                <w:sz w:val="20"/>
              </w:rPr>
              <w:t>ClaimService</w:t>
            </w:r>
          </w:p>
        </w:tc>
        <w:tc>
          <w:tcPr>
            <w:tcW w:type="dxa" w:w="1587"/>
          </w:tcPr>
          <w:p>
            <w:pPr>
              <w:spacing w:after="0" w:line="240" w:lineRule="auto"/>
              <w:jc w:val="left"/>
            </w:pPr>
            <w:r>
              <w:rPr>
                <w:rFonts w:ascii="Times New Roman" w:hAnsi="Times New Roman" w:eastAsia="Times New Roman" w:cs="Times New Roman"/>
                <w:b w:val="0"/>
                <w:i w:val="0"/>
                <w:sz w:val="20"/>
              </w:rPr>
              <w:t>Valeurs imposées</w:t>
            </w:r>
          </w:p>
        </w:tc>
      </w:tr>
      <w:tr>
        <w:tc>
          <w:tcPr>
            <w:tcW w:type="dxa" w:w="794"/>
          </w:tcPr>
          <w:p>
            <w:pPr>
              <w:spacing w:after="0" w:line="240" w:lineRule="auto"/>
              <w:jc w:val="left"/>
            </w:pPr>
            <w:r>
              <w:rPr>
                <w:rFonts w:ascii="Times New Roman" w:hAnsi="Times New Roman" w:eastAsia="Times New Roman" w:cs="Times New Roman"/>
                <w:b w:val="0"/>
                <w:i w:val="0"/>
                <w:sz w:val="20"/>
              </w:rPr>
              <w:t>RM7</w:t>
            </w:r>
          </w:p>
        </w:tc>
        <w:tc>
          <w:tcPr>
            <w:tcW w:type="dxa" w:w="4195"/>
          </w:tcPr>
          <w:p>
            <w:pPr>
              <w:spacing w:after="0" w:line="240" w:lineRule="auto"/>
              <w:jc w:val="left"/>
            </w:pPr>
            <w:r>
              <w:rPr>
                <w:rFonts w:ascii="Times New Roman" w:hAnsi="Times New Roman" w:eastAsia="Times New Roman" w:cs="Times New Roman"/>
                <w:b w:val="0"/>
                <w:i w:val="0"/>
                <w:sz w:val="20"/>
              </w:rPr>
              <w:t>CIN unique de 8 chiffres et téléphone de 8 chiffres (à la création)</w:t>
            </w:r>
          </w:p>
        </w:tc>
        <w:tc>
          <w:tcPr>
            <w:tcW w:type="dxa" w:w="2494"/>
          </w:tcPr>
          <w:p>
            <w:pPr>
              <w:spacing w:after="0" w:line="240" w:lineRule="auto"/>
              <w:jc w:val="left"/>
            </w:pPr>
            <w:r>
              <w:rPr>
                <w:rFonts w:ascii="Times New Roman" w:hAnsi="Times New Roman" w:eastAsia="Times New Roman" w:cs="Times New Roman"/>
                <w:b w:val="0"/>
                <w:i w:val="0"/>
                <w:sz w:val="20"/>
              </w:rPr>
              <w:t>ClientCreateDto, ClientService</w:t>
            </w:r>
          </w:p>
        </w:tc>
        <w:tc>
          <w:tcPr>
            <w:tcW w:type="dxa" w:w="1587"/>
          </w:tcPr>
          <w:p>
            <w:pPr>
              <w:spacing w:after="0" w:line="240" w:lineRule="auto"/>
              <w:jc w:val="left"/>
            </w:pPr>
            <w:r>
              <w:rPr>
                <w:rFonts w:ascii="Times New Roman" w:hAnsi="Times New Roman" w:eastAsia="Times New Roman" w:cs="Times New Roman"/>
                <w:b w:val="0"/>
                <w:i w:val="0"/>
                <w:sz w:val="20"/>
              </w:rPr>
              <w:t>Erreur 400</w:t>
            </w:r>
          </w:p>
        </w:tc>
      </w:tr>
      <w:tr>
        <w:tc>
          <w:tcPr>
            <w:tcW w:type="dxa" w:w="794"/>
          </w:tcPr>
          <w:p>
            <w:pPr>
              <w:spacing w:after="0" w:line="240" w:lineRule="auto"/>
              <w:jc w:val="left"/>
            </w:pPr>
            <w:r>
              <w:rPr>
                <w:rFonts w:ascii="Times New Roman" w:hAnsi="Times New Roman" w:eastAsia="Times New Roman" w:cs="Times New Roman"/>
                <w:b w:val="0"/>
                <w:i w:val="0"/>
                <w:sz w:val="20"/>
              </w:rPr>
              <w:t>RM8</w:t>
            </w:r>
          </w:p>
        </w:tc>
        <w:tc>
          <w:tcPr>
            <w:tcW w:type="dxa" w:w="4195"/>
          </w:tcPr>
          <w:p>
            <w:pPr>
              <w:spacing w:after="0" w:line="240" w:lineRule="auto"/>
              <w:jc w:val="left"/>
            </w:pPr>
            <w:r>
              <w:rPr>
                <w:rFonts w:ascii="Times New Roman" w:hAnsi="Times New Roman" w:eastAsia="Times New Roman" w:cs="Times New Roman"/>
                <w:b w:val="0"/>
                <w:i w:val="0"/>
                <w:sz w:val="20"/>
              </w:rPr>
              <w:t>Client âgé d'au moins 18 ans à la création</w:t>
            </w:r>
          </w:p>
        </w:tc>
        <w:tc>
          <w:tcPr>
            <w:tcW w:type="dxa" w:w="2494"/>
          </w:tcPr>
          <w:p>
            <w:pPr>
              <w:spacing w:after="0" w:line="240" w:lineRule="auto"/>
              <w:jc w:val="left"/>
            </w:pPr>
            <w:r>
              <w:rPr>
                <w:rFonts w:ascii="Times New Roman" w:hAnsi="Times New Roman" w:eastAsia="Times New Roman" w:cs="Times New Roman"/>
                <w:b w:val="0"/>
                <w:i w:val="0"/>
                <w:sz w:val="20"/>
              </w:rPr>
              <w:t>ClientService</w:t>
            </w:r>
          </w:p>
        </w:tc>
        <w:tc>
          <w:tcPr>
            <w:tcW w:type="dxa" w:w="1587"/>
          </w:tcPr>
          <w:p>
            <w:pPr>
              <w:spacing w:after="0" w:line="240" w:lineRule="auto"/>
              <w:jc w:val="left"/>
            </w:pPr>
            <w:r>
              <w:rPr>
                <w:rFonts w:ascii="Times New Roman" w:hAnsi="Times New Roman" w:eastAsia="Times New Roman" w:cs="Times New Roman"/>
                <w:b w:val="0"/>
                <w:i w:val="0"/>
                <w:sz w:val="20"/>
              </w:rPr>
              <w:t>Erreur 400</w:t>
            </w:r>
          </w:p>
        </w:tc>
      </w:tr>
      <w:tr>
        <w:tc>
          <w:tcPr>
            <w:tcW w:type="dxa" w:w="794"/>
          </w:tcPr>
          <w:p>
            <w:pPr>
              <w:spacing w:after="0" w:line="240" w:lineRule="auto"/>
              <w:jc w:val="left"/>
            </w:pPr>
            <w:r>
              <w:rPr>
                <w:rFonts w:ascii="Times New Roman" w:hAnsi="Times New Roman" w:eastAsia="Times New Roman" w:cs="Times New Roman"/>
                <w:b w:val="0"/>
                <w:i w:val="0"/>
                <w:sz w:val="20"/>
              </w:rPr>
              <w:t>RM9</w:t>
            </w:r>
          </w:p>
        </w:tc>
        <w:tc>
          <w:tcPr>
            <w:tcW w:type="dxa" w:w="4195"/>
          </w:tcPr>
          <w:p>
            <w:pPr>
              <w:spacing w:after="0" w:line="240" w:lineRule="auto"/>
              <w:jc w:val="left"/>
            </w:pPr>
            <w:r>
              <w:rPr>
                <w:rFonts w:ascii="Times New Roman" w:hAnsi="Times New Roman" w:eastAsia="Times New Roman" w:cs="Times New Roman"/>
                <w:b w:val="0"/>
                <w:i w:val="0"/>
                <w:sz w:val="20"/>
              </w:rPr>
              <w:t>Client archivé non modifiable ; suppression logique</w:t>
            </w:r>
          </w:p>
        </w:tc>
        <w:tc>
          <w:tcPr>
            <w:tcW w:type="dxa" w:w="2494"/>
          </w:tcPr>
          <w:p>
            <w:pPr>
              <w:spacing w:after="0" w:line="240" w:lineRule="auto"/>
              <w:jc w:val="left"/>
            </w:pPr>
            <w:r>
              <w:rPr>
                <w:rFonts w:ascii="Times New Roman" w:hAnsi="Times New Roman" w:eastAsia="Times New Roman" w:cs="Times New Roman"/>
                <w:b w:val="0"/>
                <w:i w:val="0"/>
                <w:sz w:val="20"/>
              </w:rPr>
              <w:t>ClientService</w:t>
            </w:r>
          </w:p>
        </w:tc>
        <w:tc>
          <w:tcPr>
            <w:tcW w:type="dxa" w:w="1587"/>
          </w:tcPr>
          <w:p>
            <w:pPr>
              <w:spacing w:after="0" w:line="240" w:lineRule="auto"/>
              <w:jc w:val="left"/>
            </w:pPr>
            <w:r>
              <w:rPr>
                <w:rFonts w:ascii="Times New Roman" w:hAnsi="Times New Roman" w:eastAsia="Times New Roman" w:cs="Times New Roman"/>
                <w:b w:val="0"/>
                <w:i w:val="0"/>
                <w:sz w:val="20"/>
              </w:rPr>
              <w:t>Erreur 400 ; archivage</w:t>
            </w:r>
          </w:p>
        </w:tc>
      </w:tr>
      <w:tr>
        <w:tc>
          <w:tcPr>
            <w:tcW w:type="dxa" w:w="794"/>
          </w:tcPr>
          <w:p>
            <w:pPr>
              <w:spacing w:after="0" w:line="240" w:lineRule="auto"/>
              <w:jc w:val="left"/>
            </w:pPr>
            <w:r>
              <w:rPr>
                <w:rFonts w:ascii="Times New Roman" w:hAnsi="Times New Roman" w:eastAsia="Times New Roman" w:cs="Times New Roman"/>
                <w:b w:val="0"/>
                <w:i w:val="0"/>
                <w:sz w:val="20"/>
              </w:rPr>
              <w:t>RM10</w:t>
            </w:r>
          </w:p>
        </w:tc>
        <w:tc>
          <w:tcPr>
            <w:tcW w:type="dxa" w:w="4195"/>
          </w:tcPr>
          <w:p>
            <w:pPr>
              <w:spacing w:after="0" w:line="240" w:lineRule="auto"/>
              <w:jc w:val="left"/>
            </w:pPr>
            <w:r>
              <w:rPr>
                <w:rFonts w:ascii="Times New Roman" w:hAnsi="Times New Roman" w:eastAsia="Times New Roman" w:cs="Times New Roman"/>
                <w:b w:val="0"/>
                <w:i w:val="0"/>
                <w:sz w:val="20"/>
              </w:rPr>
              <w:t>Nom d'utilisateur et courriel uniques</w:t>
            </w:r>
          </w:p>
        </w:tc>
        <w:tc>
          <w:tcPr>
            <w:tcW w:type="dxa" w:w="2494"/>
          </w:tcPr>
          <w:p>
            <w:pPr>
              <w:spacing w:after="0" w:line="240" w:lineRule="auto"/>
              <w:jc w:val="left"/>
            </w:pPr>
            <w:r>
              <w:rPr>
                <w:rFonts w:ascii="Times New Roman" w:hAnsi="Times New Roman" w:eastAsia="Times New Roman" w:cs="Times New Roman"/>
                <w:b w:val="0"/>
                <w:i w:val="0"/>
                <w:sz w:val="20"/>
              </w:rPr>
              <w:t>UserService</w:t>
            </w:r>
          </w:p>
        </w:tc>
        <w:tc>
          <w:tcPr>
            <w:tcW w:type="dxa" w:w="1587"/>
          </w:tcPr>
          <w:p>
            <w:pPr>
              <w:spacing w:after="0" w:line="240" w:lineRule="auto"/>
              <w:jc w:val="left"/>
            </w:pPr>
            <w:r>
              <w:rPr>
                <w:rFonts w:ascii="Times New Roman" w:hAnsi="Times New Roman" w:eastAsia="Times New Roman" w:cs="Times New Roman"/>
                <w:b w:val="0"/>
                <w:i w:val="0"/>
                <w:sz w:val="20"/>
              </w:rPr>
              <w:t>Erreur 400</w:t>
            </w:r>
          </w:p>
        </w:tc>
      </w:tr>
      <w:tr>
        <w:tc>
          <w:tcPr>
            <w:tcW w:type="dxa" w:w="794"/>
          </w:tcPr>
          <w:p>
            <w:pPr>
              <w:spacing w:after="0" w:line="240" w:lineRule="auto"/>
              <w:jc w:val="left"/>
            </w:pPr>
            <w:r>
              <w:rPr>
                <w:rFonts w:ascii="Times New Roman" w:hAnsi="Times New Roman" w:eastAsia="Times New Roman" w:cs="Times New Roman"/>
                <w:b w:val="0"/>
                <w:i w:val="0"/>
                <w:sz w:val="20"/>
              </w:rPr>
              <w:t>RM11</w:t>
            </w:r>
          </w:p>
        </w:tc>
        <w:tc>
          <w:tcPr>
            <w:tcW w:type="dxa" w:w="4195"/>
          </w:tcPr>
          <w:p>
            <w:pPr>
              <w:spacing w:after="0" w:line="240" w:lineRule="auto"/>
              <w:jc w:val="left"/>
            </w:pPr>
            <w:r>
              <w:rPr>
                <w:rFonts w:ascii="Times New Roman" w:hAnsi="Times New Roman" w:eastAsia="Times New Roman" w:cs="Times New Roman"/>
                <w:b w:val="0"/>
                <w:i w:val="0"/>
                <w:sz w:val="20"/>
              </w:rPr>
              <w:t>Client lié à un contrat non supprimable</w:t>
            </w:r>
          </w:p>
        </w:tc>
        <w:tc>
          <w:tcPr>
            <w:tcW w:type="dxa" w:w="2494"/>
          </w:tcPr>
          <w:p>
            <w:pPr>
              <w:spacing w:after="0" w:line="240" w:lineRule="auto"/>
              <w:jc w:val="left"/>
            </w:pPr>
            <w:r>
              <w:rPr>
                <w:rFonts w:ascii="Times New Roman" w:hAnsi="Times New Roman" w:eastAsia="Times New Roman" w:cs="Times New Roman"/>
                <w:b w:val="0"/>
                <w:i w:val="0"/>
                <w:sz w:val="20"/>
              </w:rPr>
              <w:t>Non appliquée (existsByClientId non appelée)</w:t>
            </w:r>
          </w:p>
        </w:tc>
        <w:tc>
          <w:tcPr>
            <w:tcW w:type="dxa" w:w="1587"/>
          </w:tcPr>
          <w:p>
            <w:pPr>
              <w:spacing w:after="0" w:line="240" w:lineRule="auto"/>
              <w:jc w:val="left"/>
            </w:pPr>
            <w:r>
              <w:rPr>
                <w:rFonts w:ascii="Times New Roman" w:hAnsi="Times New Roman" w:eastAsia="Times New Roman" w:cs="Times New Roman"/>
                <w:b w:val="0"/>
                <w:i w:val="0"/>
                <w:sz w:val="20"/>
              </w:rPr>
              <w:t>Aucun</w:t>
            </w:r>
          </w:p>
        </w:tc>
      </w:tr>
    </w:tbl>
    <w:p>
      <w:pPr>
        <w:spacing w:after="40"/>
      </w:pPr>
    </w:p>
    <w:p>
      <w:r>
        <w:rPr>
          <w:rFonts w:ascii="Times New Roman" w:hAnsi="Times New Roman" w:eastAsia="Times New Roman" w:cs="Times New Roman"/>
          <w:b w:val="0"/>
          <w:i w:val="0"/>
        </w:rPr>
        <w:t>La règle RM11 figure dans le tableau pour être explicite : elle a été codée dans une version antérieure, puis n'a plus été appliquée (section 5.1).</w:t>
      </w:r>
    </w:p>
    <w:p>
      <w:r>
        <w:rPr>
          <w:rFonts w:ascii="Times New Roman" w:hAnsi="Times New Roman" w:eastAsia="Times New Roman" w:cs="Times New Roman"/>
          <w:b w:val="0"/>
          <w:i w:val="0"/>
        </w:rPr>
        <w:t>Les sinistres peuvent être accompagnés d'un justificatif envoyé en multipart/form-data. Le fichier est enregistré dans le dossier uploads/ sous un nom UUID, son extension d'origine est conservée, et son chemin est stocké dans l'entité Claim. Aucun contrôle de type ni de taille n'est effectué (section 5.2).</w:t>
      </w:r>
    </w:p>
    <w:p>
      <w:pPr>
        <w:pStyle w:val="Heading2"/>
      </w:pPr>
      <w:r>
        <w:t>4.5 Documentation OpenAPI</w:t>
      </w:r>
    </w:p>
    <w:p>
      <w:r>
        <w:rPr>
          <w:rFonts w:ascii="Times New Roman" w:hAnsi="Times New Roman" w:eastAsia="Times New Roman" w:cs="Times New Roman"/>
          <w:b w:val="0"/>
          <w:i w:val="0"/>
        </w:rPr>
        <w:t xml:space="preserve">La bibliothèque springdoc-openapi génère la spécification OpenAPI à partir des contrôleurs et expose l'interface Swagger UI à l'adresse /swagger-ui/index.html. La classe OpenApiConfig déclare un schéma de sécurité bearerAuth : le bouton Authorize permet de saisir le jeton obtenu à la connexion, puis de tester les routes protégées depuis le navigateur. </w:t>
      </w:r>
    </w:p>
    <w:p>
      <w:pPr>
        <w:pStyle w:val="Heading2"/>
      </w:pPr>
      <w:r>
        <w:t>4.6 Interface web Angular</w:t>
      </w:r>
    </w:p>
    <w:p>
      <w:r>
        <w:rPr>
          <w:rFonts w:ascii="Times New Roman" w:hAnsi="Times New Roman" w:eastAsia="Times New Roman" w:cs="Times New Roman"/>
          <w:b w:val="0"/>
          <w:i w:val="0"/>
        </w:rPr>
        <w:t>L'interface compte 11 écrans : connexion, tableau de bord, liste des clients, détail d'un client, création d'un client, liste des contrats, détail d'un contrat, liste des sinistres, détail d'un sinistre, formulaire de déclaration de sinistre et gestion des employés. Le service d'authentification conserve le jeton dans le localStorage. Un intercepteur HTTP ajoute l'en-tête Authorization à chaque requête. Deux gardes de route complètent le dispositif : authGuard protège les pages, et roleGuard réserve la gestion des employés au rôle ADMIN.</w:t>
      </w:r>
    </w:p>
    <w:p>
      <w:r>
        <w:rPr>
          <w:rFonts w:ascii="Times New Roman" w:hAnsi="Times New Roman" w:eastAsia="Times New Roman" w:cs="Times New Roman"/>
          <w:b w:val="0"/>
          <w:i w:val="0"/>
        </w:rPr>
        <w:t>Cette interface présente des limites. L'URL de l'API est écrite en dur (http://localhost:8080) dans plusieurs services. L'intercepteur ne traite pas les réponses 401. Le jeton, stocké dans le localStorage, est accessible à tout script exécuté sur la page. Depuis l'interface, aucun client ni aucun contrat ne peut être modifié ni supprimé. La page de gestion des employés crée les comptes par la route publique d'inscription (section 5.2).</w:t>
      </w:r>
    </w:p>
    <w:p>
      <w:pPr>
        <w:pStyle w:val="Heading2"/>
      </w:pPr>
      <w:r>
        <w:t>4.7 Conteneurisation</w:t>
      </w:r>
    </w:p>
    <w:p>
      <w:r>
        <w:rPr>
          <w:rFonts w:ascii="Times New Roman" w:hAnsi="Times New Roman" w:eastAsia="Times New Roman" w:cs="Times New Roman"/>
          <w:b w:val="0"/>
          <w:i w:val="0"/>
        </w:rPr>
        <w:t>Le Dockerfile construit l'application en deux étapes : une image Maven avec JDK 17 compile le projet et produit l'archive exécutable, puis une image JRE 17 n'embarque que cette archive. Le fichier docker-compose.yml décrit deux services : db (PostgreSQL 16, avec un contrôle de santé pg_isready et un volume nommé pgdata) et api, qui ne démarre qu'une fois la base déclarée saine. La configuration est injectée par variables d'environnement, avec des valeurs par défaut dans application.yaml.</w:t>
      </w:r>
    </w:p>
    <w:p>
      <w:r>
        <w:rPr>
          <w:rFonts w:ascii="Times New Roman" w:hAnsi="Times New Roman" w:eastAsia="Times New Roman" w:cs="Times New Roman"/>
          <w:b w:val="0"/>
          <w:i w:val="0"/>
        </w:rPr>
        <w:t>Cette configuration présente des limites. Le conteneur s'exécute en root. Les identifiants figurent en clair dans le fichier de composition. Les tests sont ignorés lors de la construction de l'image. Enfin, le dossier uploads/ n'est monté dans aucun volume : les justificatifs sont perdus si le conteneur est recréé.</w:t>
      </w:r>
    </w:p>
    <w:p>
      <w:pPr>
        <w:pStyle w:val="Heading2"/>
      </w:pPr>
      <w:r>
        <w:t>4.8 Tests et vérifications</w:t>
      </w:r>
    </w:p>
    <w:p>
      <w:pPr>
        <w:keepNext/>
      </w:pPr>
      <w:r>
        <w:rPr>
          <w:rFonts w:ascii="Times New Roman" w:hAnsi="Times New Roman" w:eastAsia="Times New Roman" w:cs="Times New Roman"/>
          <w:b w:val="0"/>
          <w:i w:val="0"/>
        </w:rPr>
        <w:t xml:space="preserve">Le tableau </w:t>
      </w:r>
      <w:r>
        <w:fldChar w:fldCharType="begin"/>
      </w:r>
      <w:r>
        <w:instrText xml:space="preserve"> REF ref_tab_tests \h </w:instrText>
      </w:r>
      <w:r>
        <w:fldChar w:fldCharType="separate"/>
      </w:r>
      <w:r>
        <w:rPr>
          <w:rFonts w:ascii="Times New Roman" w:hAnsi="Times New Roman" w:eastAsia="Times New Roman" w:cs="Times New Roman"/>
          <w:b w:val="0"/>
          <w:i w:val="0"/>
        </w:rPr>
        <w:t>Tableau 5</w:t>
      </w:r>
      <w:r>
        <w:fldChar w:fldCharType="end"/>
      </w:r>
      <w:r>
        <w:rPr>
          <w:rFonts w:ascii="Times New Roman" w:hAnsi="Times New Roman" w:eastAsia="Times New Roman" w:cs="Times New Roman"/>
          <w:b w:val="0"/>
          <w:i w:val="0"/>
        </w:rPr>
        <w:t xml:space="preserve"> recense les tests présents dans le dépôt.</w:t>
      </w:r>
    </w:p>
    <w:p>
      <w:pPr>
        <w:pStyle w:val="Caption"/>
        <w:keepNext/>
        <w:jc w:val="left"/>
      </w:pPr>
      <w:bookmarkStart w:id="107" w:name="ref_tab_tests"/>
      <w:r>
        <w:rPr>
          <w:rFonts w:ascii="Times New Roman" w:hAnsi="Times New Roman" w:eastAsia="Times New Roman" w:cs="Times New Roman"/>
          <w:b/>
          <w:i w:val="0"/>
          <w:sz w:val="20"/>
        </w:rPr>
        <w:t xml:space="preserve">Tableau </w:t>
      </w:r>
      <w:r>
        <w:rPr>
          <w:sz w:val="20"/>
        </w:rPr>
        <w:fldChar w:fldCharType="begin"/>
      </w:r>
      <w:r>
        <w:instrText xml:space="preserve"> SEQ Tableau \* ARABIC </w:instrText>
      </w:r>
      <w:r>
        <w:rPr>
          <w:sz w:val="20"/>
        </w:rPr>
        <w:fldChar w:fldCharType="separate"/>
      </w:r>
      <w:r>
        <w:rPr>
          <w:rFonts w:ascii="Times New Roman" w:hAnsi="Times New Roman" w:eastAsia="Times New Roman" w:cs="Times New Roman"/>
          <w:b/>
          <w:i w:val="0"/>
          <w:sz w:val="20"/>
        </w:rPr>
        <w:t>5</w:t>
      </w:r>
      <w:r>
        <w:rPr>
          <w:sz w:val="20"/>
        </w:rPr>
        <w:fldChar w:fldCharType="end"/>
      </w:r>
      <w:bookmarkEnd w:id="107"/>
      <w:r>
        <w:rPr>
          <w:rFonts w:ascii="Times New Roman" w:hAnsi="Times New Roman" w:eastAsia="Times New Roman" w:cs="Times New Roman"/>
          <w:b w:val="0"/>
          <w:i w:val="0"/>
          <w:sz w:val="20"/>
        </w:rPr>
        <w:t xml:space="preserve"> — Tests présents dans le dépôt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3061"/>
            <w:shd w:val="clear" w:color="auto" w:fill="D9D9D9"/>
          </w:tcPr>
          <w:p>
            <w:pPr>
              <w:spacing w:after="0" w:line="240" w:lineRule="auto"/>
              <w:jc w:val="left"/>
            </w:pPr>
            <w:r>
              <w:rPr>
                <w:rFonts w:ascii="Times New Roman" w:hAnsi="Times New Roman" w:eastAsia="Times New Roman" w:cs="Times New Roman"/>
                <w:b/>
                <w:i w:val="0"/>
                <w:sz w:val="20"/>
              </w:rPr>
              <w:t>Test</w:t>
            </w:r>
          </w:p>
        </w:tc>
        <w:tc>
          <w:tcPr>
            <w:tcW w:type="dxa" w:w="2041"/>
            <w:shd w:val="clear" w:color="auto" w:fill="D9D9D9"/>
          </w:tcPr>
          <w:p>
            <w:pPr>
              <w:spacing w:after="0" w:line="240" w:lineRule="auto"/>
              <w:jc w:val="left"/>
            </w:pPr>
            <w:r>
              <w:rPr>
                <w:rFonts w:ascii="Times New Roman" w:hAnsi="Times New Roman" w:eastAsia="Times New Roman" w:cs="Times New Roman"/>
                <w:b/>
                <w:i w:val="0"/>
                <w:sz w:val="20"/>
              </w:rPr>
              <w:t>Type</w:t>
            </w:r>
          </w:p>
        </w:tc>
        <w:tc>
          <w:tcPr>
            <w:tcW w:type="dxa" w:w="1928"/>
            <w:shd w:val="clear" w:color="auto" w:fill="D9D9D9"/>
          </w:tcPr>
          <w:p>
            <w:pPr>
              <w:spacing w:after="0" w:line="240" w:lineRule="auto"/>
              <w:jc w:val="left"/>
            </w:pPr>
            <w:r>
              <w:rPr>
                <w:rFonts w:ascii="Times New Roman" w:hAnsi="Times New Roman" w:eastAsia="Times New Roman" w:cs="Times New Roman"/>
                <w:b/>
                <w:i w:val="0"/>
                <w:sz w:val="20"/>
              </w:rPr>
              <w:t>Dépendances</w:t>
            </w:r>
          </w:p>
        </w:tc>
        <w:tc>
          <w:tcPr>
            <w:tcW w:type="dxa" w:w="2041"/>
            <w:shd w:val="clear" w:color="auto" w:fill="D9D9D9"/>
          </w:tcPr>
          <w:p>
            <w:pPr>
              <w:spacing w:after="0" w:line="240" w:lineRule="auto"/>
              <w:jc w:val="left"/>
            </w:pPr>
            <w:r>
              <w:rPr>
                <w:rFonts w:ascii="Times New Roman" w:hAnsi="Times New Roman" w:eastAsia="Times New Roman" w:cs="Times New Roman"/>
                <w:b/>
                <w:i w:val="0"/>
                <w:sz w:val="20"/>
              </w:rPr>
              <w:t>Ce qu'il vérifie</w:t>
            </w:r>
          </w:p>
        </w:tc>
      </w:tr>
      <w:tr>
        <w:tc>
          <w:tcPr>
            <w:tcW w:type="dxa" w:w="3061"/>
          </w:tcPr>
          <w:p>
            <w:pPr>
              <w:spacing w:after="0" w:line="240" w:lineRule="auto"/>
              <w:jc w:val="left"/>
            </w:pPr>
            <w:r>
              <w:rPr>
                <w:rFonts w:ascii="Times New Roman" w:hAnsi="Times New Roman" w:eastAsia="Times New Roman" w:cs="Times New Roman"/>
                <w:b w:val="0"/>
                <w:i w:val="0"/>
                <w:sz w:val="20"/>
              </w:rPr>
              <w:t>ClaimServiceTest : refus d'un sinistre sur un contrat TERMINATED</w:t>
            </w:r>
          </w:p>
        </w:tc>
        <w:tc>
          <w:tcPr>
            <w:tcW w:type="dxa" w:w="2041"/>
          </w:tcPr>
          <w:p>
            <w:pPr>
              <w:spacing w:after="0" w:line="240" w:lineRule="auto"/>
              <w:jc w:val="left"/>
            </w:pPr>
            <w:r>
              <w:rPr>
                <w:rFonts w:ascii="Times New Roman" w:hAnsi="Times New Roman" w:eastAsia="Times New Roman" w:cs="Times New Roman"/>
                <w:b w:val="0"/>
                <w:i w:val="0"/>
                <w:sz w:val="20"/>
              </w:rPr>
              <w:t>Unitaire (JUnit 5, Mockito)</w:t>
            </w:r>
          </w:p>
        </w:tc>
        <w:tc>
          <w:tcPr>
            <w:tcW w:type="dxa" w:w="1928"/>
          </w:tcPr>
          <w:p>
            <w:pPr>
              <w:spacing w:after="0" w:line="240" w:lineRule="auto"/>
              <w:jc w:val="left"/>
            </w:pPr>
            <w:r>
              <w:rPr>
                <w:rFonts w:ascii="Times New Roman" w:hAnsi="Times New Roman" w:eastAsia="Times New Roman" w:cs="Times New Roman"/>
                <w:b w:val="0"/>
                <w:i w:val="0"/>
                <w:sz w:val="20"/>
              </w:rPr>
              <w:t>Aucune base</w:t>
            </w:r>
          </w:p>
        </w:tc>
        <w:tc>
          <w:tcPr>
            <w:tcW w:type="dxa" w:w="2041"/>
          </w:tcPr>
          <w:p>
            <w:pPr>
              <w:spacing w:after="0" w:line="240" w:lineRule="auto"/>
              <w:jc w:val="left"/>
            </w:pPr>
            <w:r>
              <w:rPr>
                <w:rFonts w:ascii="Times New Roman" w:hAnsi="Times New Roman" w:eastAsia="Times New Roman" w:cs="Times New Roman"/>
                <w:b w:val="0"/>
                <w:i w:val="0"/>
                <w:sz w:val="20"/>
              </w:rPr>
              <w:t>Règle RM4</w:t>
            </w:r>
          </w:p>
        </w:tc>
      </w:tr>
      <w:tr>
        <w:tc>
          <w:tcPr>
            <w:tcW w:type="dxa" w:w="3061"/>
          </w:tcPr>
          <w:p>
            <w:pPr>
              <w:spacing w:after="0" w:line="240" w:lineRule="auto"/>
              <w:jc w:val="left"/>
            </w:pPr>
            <w:r>
              <w:rPr>
                <w:rFonts w:ascii="Times New Roman" w:hAnsi="Times New Roman" w:eastAsia="Times New Roman" w:cs="Times New Roman"/>
                <w:b w:val="0"/>
                <w:i w:val="0"/>
                <w:sz w:val="20"/>
              </w:rPr>
              <w:t>MiniApiAssuranceApplicationTests : chargement du contexte</w:t>
            </w:r>
          </w:p>
        </w:tc>
        <w:tc>
          <w:tcPr>
            <w:tcW w:type="dxa" w:w="2041"/>
          </w:tcPr>
          <w:p>
            <w:pPr>
              <w:spacing w:after="0" w:line="240" w:lineRule="auto"/>
              <w:jc w:val="left"/>
            </w:pPr>
            <w:r>
              <w:rPr>
                <w:rFonts w:ascii="Times New Roman" w:hAnsi="Times New Roman" w:eastAsia="Times New Roman" w:cs="Times New Roman"/>
                <w:b w:val="0"/>
                <w:i w:val="0"/>
                <w:sz w:val="20"/>
              </w:rPr>
              <w:t>Démarrage Spring</w:t>
            </w:r>
          </w:p>
        </w:tc>
        <w:tc>
          <w:tcPr>
            <w:tcW w:type="dxa" w:w="1928"/>
          </w:tcPr>
          <w:p>
            <w:pPr>
              <w:spacing w:after="0" w:line="240" w:lineRule="auto"/>
              <w:jc w:val="left"/>
            </w:pPr>
            <w:r>
              <w:rPr>
                <w:rFonts w:ascii="Times New Roman" w:hAnsi="Times New Roman" w:eastAsia="Times New Roman" w:cs="Times New Roman"/>
                <w:b w:val="0"/>
                <w:i w:val="0"/>
                <w:sz w:val="20"/>
              </w:rPr>
              <w:t>PostgreSQL accessible</w:t>
            </w:r>
          </w:p>
        </w:tc>
        <w:tc>
          <w:tcPr>
            <w:tcW w:type="dxa" w:w="2041"/>
          </w:tcPr>
          <w:p>
            <w:pPr>
              <w:spacing w:after="0" w:line="240" w:lineRule="auto"/>
              <w:jc w:val="left"/>
            </w:pPr>
            <w:r>
              <w:rPr>
                <w:rFonts w:ascii="Times New Roman" w:hAnsi="Times New Roman" w:eastAsia="Times New Roman" w:cs="Times New Roman"/>
                <w:b w:val="0"/>
                <w:i w:val="0"/>
                <w:sz w:val="20"/>
              </w:rPr>
              <w:t>Configuration et démarrage</w:t>
            </w:r>
          </w:p>
        </w:tc>
      </w:tr>
      <w:tr>
        <w:tc>
          <w:tcPr>
            <w:tcW w:type="dxa" w:w="3061"/>
          </w:tcPr>
          <w:p>
            <w:pPr>
              <w:spacing w:after="0" w:line="240" w:lineRule="auto"/>
              <w:jc w:val="left"/>
            </w:pPr>
            <w:r>
              <w:rPr>
                <w:rFonts w:ascii="Times New Roman" w:hAnsi="Times New Roman" w:eastAsia="Times New Roman" w:cs="Times New Roman"/>
                <w:b w:val="0"/>
                <w:i w:val="0"/>
                <w:sz w:val="20"/>
              </w:rPr>
              <w:t>Tests frontend (9 fichiers .spec.ts)</w:t>
            </w:r>
          </w:p>
        </w:tc>
        <w:tc>
          <w:tcPr>
            <w:tcW w:type="dxa" w:w="2041"/>
          </w:tcPr>
          <w:p>
            <w:pPr>
              <w:spacing w:after="0" w:line="240" w:lineRule="auto"/>
              <w:jc w:val="left"/>
            </w:pPr>
            <w:r>
              <w:rPr>
                <w:rFonts w:ascii="Times New Roman" w:hAnsi="Times New Roman" w:eastAsia="Times New Roman" w:cs="Times New Roman"/>
                <w:b w:val="0"/>
                <w:i w:val="0"/>
                <w:sz w:val="20"/>
              </w:rPr>
              <w:t>Générés par Angular CLI</w:t>
            </w:r>
          </w:p>
        </w:tc>
        <w:tc>
          <w:tcPr>
            <w:tcW w:type="dxa" w:w="1928"/>
          </w:tcPr>
          <w:p>
            <w:pPr>
              <w:spacing w:after="0" w:line="240" w:lineRule="auto"/>
              <w:jc w:val="left"/>
            </w:pPr>
            <w:r>
              <w:rPr>
                <w:rFonts w:ascii="Times New Roman" w:hAnsi="Times New Roman" w:eastAsia="Times New Roman" w:cs="Times New Roman"/>
                <w:b w:val="0"/>
                <w:i w:val="0"/>
                <w:sz w:val="20"/>
              </w:rPr>
              <w:t>Environnement de test Angular</w:t>
            </w:r>
          </w:p>
        </w:tc>
        <w:tc>
          <w:tcPr>
            <w:tcW w:type="dxa" w:w="2041"/>
          </w:tcPr>
          <w:p>
            <w:pPr>
              <w:spacing w:after="0" w:line="240" w:lineRule="auto"/>
              <w:jc w:val="left"/>
            </w:pPr>
            <w:r>
              <w:rPr>
                <w:rFonts w:ascii="Times New Roman" w:hAnsi="Times New Roman" w:eastAsia="Times New Roman" w:cs="Times New Roman"/>
                <w:b w:val="0"/>
                <w:i w:val="0"/>
                <w:sz w:val="20"/>
              </w:rPr>
              <w:t>Instanciation des composants ; non exécutés ici</w:t>
            </w:r>
          </w:p>
        </w:tc>
      </w:tr>
    </w:tbl>
    <w:p>
      <w:pPr>
        <w:spacing w:after="40"/>
      </w:pPr>
    </w:p>
    <w:p>
      <w:r>
        <w:rPr>
          <w:rFonts w:ascii="Times New Roman" w:hAnsi="Times New Roman" w:eastAsia="Times New Roman" w:cs="Times New Roman"/>
          <w:b w:val="0"/>
          <w:i w:val="0"/>
        </w:rPr>
        <w:t>Le dépôt contient donc un test unitaire ciblant une règle métier parmi les dix appliquées. Il n'existe ni test de contrôleur, ni test de sécurité, ni test d'intégration sur une base, ni mesure de couverture. Les tests frontend ne vérifient aucun scénario métier.</w:t>
      </w:r>
    </w:p>
    <w:p>
      <w:r>
        <w:rPr>
          <w:rFonts w:ascii="Times New Roman" w:hAnsi="Times New Roman" w:eastAsia="Times New Roman" w:cs="Times New Roman"/>
          <w:b w:val="0"/>
          <w:i w:val="0"/>
        </w:rPr>
        <w:t>Les vérifications réalisées pour ce rapport sont une lecture du code backend (contrôleurs, services, DTO, entités, configuration de sécurité, gestion des erreurs, tests et fichiers de configuration), d'une partie du code Angular, et une analyse de l'historique Git via l'API GitHub. Je n'ai ni compilé ni exécuté l'application dans le cadre de la rédaction de ce rapport : les comportements décrits sont ceux que le code permet d'attendre, et non ceux d'une exécution observée.</w:t>
      </w:r>
    </w:p>
    <w:p>
      <w:r>
        <w:rPr>
          <w:rFonts w:ascii="Times New Roman" w:hAnsi="Times New Roman" w:eastAsia="Times New Roman" w:cs="Times New Roman"/>
          <w:b/>
          <w:i w:val="0"/>
        </w:rPr>
        <w:t>Vérifications menées par l'étudiant pendant le stage :</w:t>
      </w:r>
      <w:r>
        <w:rPr>
          <w:rFonts w:ascii="Times New Roman" w:hAnsi="Times New Roman" w:eastAsia="Times New Roman" w:cs="Times New Roman"/>
          <w:b w:val="0"/>
          <w:i w:val="0"/>
        </w:rPr>
        <w:t xml:space="preserve"> [À COMPLÉTER : nature des tests manuels (outil utilisé), scénarios joués, résultats observés, captures d'écran éventuelles].</w:t>
      </w:r>
    </w:p>
    <w:p>
      <w:pPr>
        <w:pStyle w:val="Heading1"/>
      </w:pPr>
      <w:r>
        <w:t>5. Difficultés, limites et analyse critique</w:t>
      </w:r>
    </w:p>
    <w:p>
      <w:pPr>
        <w:pStyle w:val="Heading2"/>
      </w:pPr>
      <w:r>
        <w:t>5.1 Points techniques notables</w:t>
      </w:r>
    </w:p>
    <w:p>
      <w:pPr>
        <w:keepNext/>
      </w:pPr>
      <w:r>
        <w:rPr>
          <w:rFonts w:ascii="Times New Roman" w:hAnsi="Times New Roman" w:eastAsia="Times New Roman" w:cs="Times New Roman"/>
          <w:b w:val="0"/>
          <w:i w:val="0"/>
        </w:rPr>
        <w:t>Les points ci-dessous sont des constats faits à la lecture du code et de l'historique Git. Ils ne sont pas présentés comme des difficultés vécues : les difficultés effectivement rencontrées et la manière dont je les ai résolues doivent être précisées par l'étudiant [À COMPLÉTER].</w:t>
      </w:r>
    </w:p>
    <w:p>
      <w:pPr>
        <w:pStyle w:val="ListBullet"/>
        <w:spacing w:after="40"/>
      </w:pPr>
      <w:r>
        <w:rPr>
          <w:rFonts w:ascii="Times New Roman" w:hAnsi="Times New Roman" w:eastAsia="Times New Roman" w:cs="Times New Roman"/>
          <w:b/>
          <w:i w:val="0"/>
        </w:rPr>
        <w:t>Exception sans message dans le gestionnaire global.</w:t>
      </w:r>
      <w:r>
        <w:rPr>
          <w:rFonts w:ascii="Times New Roman" w:hAnsi="Times New Roman" w:eastAsia="Times New Roman" w:cs="Times New Roman"/>
          <w:b w:val="0"/>
          <w:i w:val="0"/>
        </w:rPr>
        <w:t xml:space="preserve"> Le commit 4644688 remplace Map.of par un HashMap dans GlobalExceptionHandler. Map.of refuse les valeurs nulles : une exception sans message provoquait une NullPointerException à l'intérieur du gestionnaire.</w:t>
      </w:r>
    </w:p>
    <w:p>
      <w:pPr>
        <w:pStyle w:val="ListBullet"/>
        <w:spacing w:after="40"/>
      </w:pPr>
      <w:r>
        <w:rPr>
          <w:rFonts w:ascii="Times New Roman" w:hAnsi="Times New Roman" w:eastAsia="Times New Roman" w:cs="Times New Roman"/>
          <w:b/>
          <w:i w:val="0"/>
        </w:rPr>
        <w:t>Nom de table réservé.</w:t>
      </w:r>
      <w:r>
        <w:rPr>
          <w:rFonts w:ascii="Times New Roman" w:hAnsi="Times New Roman" w:eastAsia="Times New Roman" w:cs="Times New Roman"/>
          <w:b w:val="0"/>
          <w:i w:val="0"/>
        </w:rPr>
        <w:t xml:space="preserve"> L'entité utilisateur est mappée sur app_user, le commentaire de la classe signalant un conflit possible avec le mot réservé « user ».</w:t>
      </w:r>
    </w:p>
    <w:p>
      <w:pPr>
        <w:pStyle w:val="ListBullet"/>
        <w:spacing w:after="40"/>
      </w:pPr>
      <w:r>
        <w:rPr>
          <w:rFonts w:ascii="Times New Roman" w:hAnsi="Times New Roman" w:eastAsia="Times New Roman" w:cs="Times New Roman"/>
          <w:b/>
          <w:i w:val="0"/>
        </w:rPr>
        <w:t>Chargement paresseux et sérialisation.</w:t>
      </w:r>
      <w:r>
        <w:rPr>
          <w:rFonts w:ascii="Times New Roman" w:hAnsi="Times New Roman" w:eastAsia="Times New Roman" w:cs="Times New Roman"/>
          <w:b w:val="0"/>
          <w:i w:val="0"/>
        </w:rPr>
        <w:t xml:space="preserve"> Les associations ManyToOne sont chargées à la demande (LAZY) et open-in-view est désactivé : la conversion en DTO doit donc avoir lieu dans les services, pendant la session de persistance. Ce choix impose de rendre explicite l'accès aux associations.</w:t>
      </w:r>
    </w:p>
    <w:p>
      <w:pPr>
        <w:pStyle w:val="ListBullet"/>
        <w:spacing w:after="40"/>
      </w:pPr>
      <w:r>
        <w:rPr>
          <w:rFonts w:ascii="Times New Roman" w:hAnsi="Times New Roman" w:eastAsia="Times New Roman" w:cs="Times New Roman"/>
          <w:b/>
          <w:i w:val="0"/>
        </w:rPr>
        <w:t>Évolution de la règle de suppression.</w:t>
      </w:r>
      <w:r>
        <w:rPr>
          <w:rFonts w:ascii="Times New Roman" w:hAnsi="Times New Roman" w:eastAsia="Times New Roman" w:cs="Times New Roman"/>
          <w:b w:val="0"/>
          <w:i w:val="0"/>
        </w:rPr>
        <w:t xml:space="preserve"> Le commit 1db5da3 (15 juillet) ajoute à la suppression un contrôle des contrats liés, via existsByClientId. Le commit 4a0dfb8 (29 juillet) passe à l'archivage logique, et ce contrôle n'est plus appelé. Le dépôt ne documente pas la raison de ce changement.</w:t>
      </w:r>
    </w:p>
    <w:p>
      <w:pPr>
        <w:pStyle w:val="ListBullet"/>
        <w:spacing w:after="40"/>
      </w:pPr>
      <w:r>
        <w:rPr>
          <w:rFonts w:ascii="Times New Roman" w:hAnsi="Times New Roman" w:eastAsia="Times New Roman" w:cs="Times New Roman"/>
          <w:b/>
          <w:i w:val="0"/>
        </w:rPr>
        <w:t>Annotation sans effet.</w:t>
      </w:r>
      <w:r>
        <w:rPr>
          <w:rFonts w:ascii="Times New Roman" w:hAnsi="Times New Roman" w:eastAsia="Times New Roman" w:cs="Times New Roman"/>
          <w:b w:val="0"/>
          <w:i w:val="0"/>
        </w:rPr>
        <w:t xml:space="preserve"> Les @PreAuthorize figurent sans @EnableMethodSecurity : la protection effective est celle des chemins. Une annotation ne garantit donc pas à elle seule une restriction.</w:t>
      </w:r>
    </w:p>
    <w:p>
      <w:pPr>
        <w:pStyle w:val="ListBullet"/>
        <w:spacing w:after="40"/>
      </w:pPr>
      <w:r>
        <w:rPr>
          <w:rFonts w:ascii="Times New Roman" w:hAnsi="Times New Roman" w:eastAsia="Times New Roman" w:cs="Times New Roman"/>
          <w:b/>
          <w:i w:val="0"/>
        </w:rPr>
        <w:t>Requêtes inter-origines.</w:t>
      </w:r>
      <w:r>
        <w:rPr>
          <w:rFonts w:ascii="Times New Roman" w:hAnsi="Times New Roman" w:eastAsia="Times New Roman" w:cs="Times New Roman"/>
          <w:b w:val="0"/>
          <w:i w:val="0"/>
        </w:rPr>
        <w:t xml:space="preserve"> Le frontend et l'API tournent sur deux ports différents. La configuration CORS autorise l'origine http://localhost:4200.</w:t>
      </w:r>
    </w:p>
    <w:p>
      <w:pPr>
        <w:pStyle w:val="Heading2"/>
      </w:pPr>
      <w:r>
        <w:t>5.2 Limites et pistes d'amélioration</w:t>
      </w:r>
    </w:p>
    <w:p>
      <w:pPr>
        <w:keepNext/>
      </w:pPr>
      <w:r>
        <w:rPr>
          <w:rFonts w:ascii="Times New Roman" w:hAnsi="Times New Roman" w:eastAsia="Times New Roman" w:cs="Times New Roman"/>
          <w:b w:val="0"/>
          <w:i w:val="0"/>
        </w:rPr>
        <w:t xml:space="preserve">Le tableau </w:t>
      </w:r>
      <w:r>
        <w:fldChar w:fldCharType="begin"/>
      </w:r>
      <w:r>
        <w:instrText xml:space="preserve"> REF ref_tab_limites \h </w:instrText>
      </w:r>
      <w:r>
        <w:fldChar w:fldCharType="separate"/>
      </w:r>
      <w:r>
        <w:rPr>
          <w:rFonts w:ascii="Times New Roman" w:hAnsi="Times New Roman" w:eastAsia="Times New Roman" w:cs="Times New Roman"/>
          <w:b w:val="0"/>
          <w:i w:val="0"/>
        </w:rPr>
        <w:t>Tableau 6</w:t>
      </w:r>
      <w:r>
        <w:fldChar w:fldCharType="end"/>
      </w:r>
      <w:r>
        <w:rPr>
          <w:rFonts w:ascii="Times New Roman" w:hAnsi="Times New Roman" w:eastAsia="Times New Roman" w:cs="Times New Roman"/>
          <w:b w:val="0"/>
          <w:i w:val="0"/>
        </w:rPr>
        <w:t xml:space="preserve"> synthétise les limites constatées dans le code et les pistes associées. Aucune de ces limites n'a été corrigée dans le cadre de ce rapport, qui décrit le projet tel qu'il est.</w:t>
      </w:r>
    </w:p>
    <w:p>
      <w:pPr>
        <w:pStyle w:val="Caption"/>
        <w:keepNext/>
        <w:jc w:val="left"/>
      </w:pPr>
      <w:bookmarkStart w:id="108" w:name="ref_tab_limites"/>
      <w:r>
        <w:rPr>
          <w:rFonts w:ascii="Times New Roman" w:hAnsi="Times New Roman" w:eastAsia="Times New Roman" w:cs="Times New Roman"/>
          <w:b/>
          <w:i w:val="0"/>
          <w:sz w:val="20"/>
        </w:rPr>
        <w:t xml:space="preserve">Tableau </w:t>
      </w:r>
      <w:r>
        <w:rPr>
          <w:sz w:val="20"/>
        </w:rPr>
        <w:fldChar w:fldCharType="begin"/>
      </w:r>
      <w:r>
        <w:instrText xml:space="preserve"> SEQ Tableau \* ARABIC </w:instrText>
      </w:r>
      <w:r>
        <w:rPr>
          <w:sz w:val="20"/>
        </w:rPr>
        <w:fldChar w:fldCharType="separate"/>
      </w:r>
      <w:r>
        <w:rPr>
          <w:rFonts w:ascii="Times New Roman" w:hAnsi="Times New Roman" w:eastAsia="Times New Roman" w:cs="Times New Roman"/>
          <w:b/>
          <w:i w:val="0"/>
          <w:sz w:val="20"/>
        </w:rPr>
        <w:t>6</w:t>
      </w:r>
      <w:r>
        <w:rPr>
          <w:sz w:val="20"/>
        </w:rPr>
        <w:fldChar w:fldCharType="end"/>
      </w:r>
      <w:bookmarkEnd w:id="108"/>
      <w:r>
        <w:rPr>
          <w:rFonts w:ascii="Times New Roman" w:hAnsi="Times New Roman" w:eastAsia="Times New Roman" w:cs="Times New Roman"/>
          <w:b w:val="0"/>
          <w:i w:val="0"/>
          <w:sz w:val="20"/>
        </w:rPr>
        <w:t xml:space="preserve"> — Limites constatées et pistes d'amélioration</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2041"/>
            <w:shd w:val="clear" w:color="auto" w:fill="D9D9D9"/>
          </w:tcPr>
          <w:p>
            <w:pPr>
              <w:spacing w:after="0" w:line="240" w:lineRule="auto"/>
              <w:jc w:val="left"/>
            </w:pPr>
            <w:r>
              <w:rPr>
                <w:rFonts w:ascii="Times New Roman" w:hAnsi="Times New Roman" w:eastAsia="Times New Roman" w:cs="Times New Roman"/>
                <w:b/>
                <w:i w:val="0"/>
                <w:sz w:val="19"/>
              </w:rPr>
              <w:t>Limite</w:t>
            </w:r>
          </w:p>
        </w:tc>
        <w:tc>
          <w:tcPr>
            <w:tcW w:type="dxa" w:w="3515"/>
            <w:shd w:val="clear" w:color="auto" w:fill="D9D9D9"/>
          </w:tcPr>
          <w:p>
            <w:pPr>
              <w:spacing w:after="0" w:line="240" w:lineRule="auto"/>
              <w:jc w:val="left"/>
            </w:pPr>
            <w:r>
              <w:rPr>
                <w:rFonts w:ascii="Times New Roman" w:hAnsi="Times New Roman" w:eastAsia="Times New Roman" w:cs="Times New Roman"/>
                <w:b/>
                <w:i w:val="0"/>
                <w:sz w:val="19"/>
              </w:rPr>
              <w:t>Constat dans le code</w:t>
            </w:r>
          </w:p>
        </w:tc>
        <w:tc>
          <w:tcPr>
            <w:tcW w:type="dxa" w:w="2948"/>
            <w:shd w:val="clear" w:color="auto" w:fill="D9D9D9"/>
          </w:tcPr>
          <w:p>
            <w:pPr>
              <w:spacing w:after="0" w:line="240" w:lineRule="auto"/>
              <w:jc w:val="left"/>
            </w:pPr>
            <w:r>
              <w:rPr>
                <w:rFonts w:ascii="Times New Roman" w:hAnsi="Times New Roman" w:eastAsia="Times New Roman" w:cs="Times New Roman"/>
                <w:b/>
                <w:i w:val="0"/>
                <w:sz w:val="19"/>
              </w:rPr>
              <w:t>Piste d'amélioration</w:t>
            </w:r>
          </w:p>
        </w:tc>
      </w:tr>
      <w:tr>
        <w:tc>
          <w:tcPr>
            <w:tcW w:type="dxa" w:w="2041"/>
          </w:tcPr>
          <w:p>
            <w:pPr>
              <w:spacing w:after="0" w:line="240" w:lineRule="auto"/>
              <w:jc w:val="left"/>
            </w:pPr>
            <w:r>
              <w:rPr>
                <w:rFonts w:ascii="Times New Roman" w:hAnsi="Times New Roman" w:eastAsia="Times New Roman" w:cs="Times New Roman"/>
                <w:b w:val="0"/>
                <w:i w:val="0"/>
                <w:sz w:val="19"/>
              </w:rPr>
              <w:t>Inscription publique avec rôle</w:t>
            </w:r>
          </w:p>
        </w:tc>
        <w:tc>
          <w:tcPr>
            <w:tcW w:type="dxa" w:w="3515"/>
          </w:tcPr>
          <w:p>
            <w:pPr>
              <w:spacing w:after="0" w:line="240" w:lineRule="auto"/>
              <w:jc w:val="left"/>
            </w:pPr>
            <w:r>
              <w:rPr>
                <w:rFonts w:ascii="Times New Roman" w:hAnsi="Times New Roman" w:eastAsia="Times New Roman" w:cs="Times New Roman"/>
                <w:b w:val="0"/>
                <w:i w:val="0"/>
                <w:sz w:val="19"/>
              </w:rPr>
              <w:t>/api/auth/register est public et accepte le champ role : un appelant anonyme peut créer un ADMIN</w:t>
            </w:r>
          </w:p>
        </w:tc>
        <w:tc>
          <w:tcPr>
            <w:tcW w:type="dxa" w:w="2948"/>
          </w:tcPr>
          <w:p>
            <w:pPr>
              <w:spacing w:after="0" w:line="240" w:lineRule="auto"/>
              <w:jc w:val="left"/>
            </w:pPr>
            <w:r>
              <w:rPr>
                <w:rFonts w:ascii="Times New Roman" w:hAnsi="Times New Roman" w:eastAsia="Times New Roman" w:cs="Times New Roman"/>
                <w:b w:val="0"/>
                <w:i w:val="0"/>
                <w:sz w:val="19"/>
              </w:rPr>
              <w:t>Réserver la création de comptes à un ADMIN authentifié ; ne pas accepter le rôle depuis le client</w:t>
            </w:r>
          </w:p>
        </w:tc>
      </w:tr>
      <w:tr>
        <w:tc>
          <w:tcPr>
            <w:tcW w:type="dxa" w:w="2041"/>
          </w:tcPr>
          <w:p>
            <w:pPr>
              <w:spacing w:after="0" w:line="240" w:lineRule="auto"/>
              <w:jc w:val="left"/>
            </w:pPr>
            <w:r>
              <w:rPr>
                <w:rFonts w:ascii="Times New Roman" w:hAnsi="Times New Roman" w:eastAsia="Times New Roman" w:cs="Times New Roman"/>
                <w:b w:val="0"/>
                <w:i w:val="0"/>
                <w:sz w:val="19"/>
              </w:rPr>
              <w:t>Autorisation par méthode inopérante</w:t>
            </w:r>
          </w:p>
        </w:tc>
        <w:tc>
          <w:tcPr>
            <w:tcW w:type="dxa" w:w="3515"/>
          </w:tcPr>
          <w:p>
            <w:pPr>
              <w:spacing w:after="0" w:line="240" w:lineRule="auto"/>
              <w:jc w:val="left"/>
            </w:pPr>
            <w:r>
              <w:rPr>
                <w:rFonts w:ascii="Times New Roman" w:hAnsi="Times New Roman" w:eastAsia="Times New Roman" w:cs="Times New Roman"/>
                <w:b w:val="0"/>
                <w:i w:val="0"/>
                <w:sz w:val="19"/>
              </w:rPr>
              <w:t>@PreAuthorize sans @EnableMethodSecurity ; un AGENT peut supprimer un client</w:t>
            </w:r>
          </w:p>
        </w:tc>
        <w:tc>
          <w:tcPr>
            <w:tcW w:type="dxa" w:w="2948"/>
          </w:tcPr>
          <w:p>
            <w:pPr>
              <w:spacing w:after="0" w:line="240" w:lineRule="auto"/>
              <w:jc w:val="left"/>
            </w:pPr>
            <w:r>
              <w:rPr>
                <w:rFonts w:ascii="Times New Roman" w:hAnsi="Times New Roman" w:eastAsia="Times New Roman" w:cs="Times New Roman"/>
                <w:b w:val="0"/>
                <w:i w:val="0"/>
                <w:sz w:val="19"/>
              </w:rPr>
              <w:t>Activer la sécurité par méthode ; écrire des tests vérifiant les refus</w:t>
            </w:r>
          </w:p>
        </w:tc>
      </w:tr>
      <w:tr>
        <w:tc>
          <w:tcPr>
            <w:tcW w:type="dxa" w:w="2041"/>
          </w:tcPr>
          <w:p>
            <w:pPr>
              <w:spacing w:after="0" w:line="240" w:lineRule="auto"/>
              <w:jc w:val="left"/>
            </w:pPr>
            <w:r>
              <w:rPr>
                <w:rFonts w:ascii="Times New Roman" w:hAnsi="Times New Roman" w:eastAsia="Times New Roman" w:cs="Times New Roman"/>
                <w:b w:val="0"/>
                <w:i w:val="0"/>
                <w:sz w:val="19"/>
              </w:rPr>
              <w:t>Suppression sans contrôle</w:t>
            </w:r>
          </w:p>
        </w:tc>
        <w:tc>
          <w:tcPr>
            <w:tcW w:type="dxa" w:w="3515"/>
          </w:tcPr>
          <w:p>
            <w:pPr>
              <w:spacing w:after="0" w:line="240" w:lineRule="auto"/>
              <w:jc w:val="left"/>
            </w:pPr>
            <w:r>
              <w:rPr>
                <w:rFonts w:ascii="Times New Roman" w:hAnsi="Times New Roman" w:eastAsia="Times New Roman" w:cs="Times New Roman"/>
                <w:b w:val="0"/>
                <w:i w:val="0"/>
                <w:sz w:val="19"/>
              </w:rPr>
              <w:t>RM11 non appliquée</w:t>
            </w:r>
          </w:p>
        </w:tc>
        <w:tc>
          <w:tcPr>
            <w:tcW w:type="dxa" w:w="2948"/>
          </w:tcPr>
          <w:p>
            <w:pPr>
              <w:spacing w:after="0" w:line="240" w:lineRule="auto"/>
              <w:jc w:val="left"/>
            </w:pPr>
            <w:r>
              <w:rPr>
                <w:rFonts w:ascii="Times New Roman" w:hAnsi="Times New Roman" w:eastAsia="Times New Roman" w:cs="Times New Roman"/>
                <w:b w:val="0"/>
                <w:i w:val="0"/>
                <w:sz w:val="19"/>
              </w:rPr>
              <w:t>Décider si l'archivage d'un client lié à un contrat est autorisé, puis l'appliquer ou le documenter</w:t>
            </w:r>
          </w:p>
        </w:tc>
      </w:tr>
      <w:tr>
        <w:tc>
          <w:tcPr>
            <w:tcW w:type="dxa" w:w="2041"/>
          </w:tcPr>
          <w:p>
            <w:pPr>
              <w:spacing w:after="0" w:line="240" w:lineRule="auto"/>
              <w:jc w:val="left"/>
            </w:pPr>
            <w:r>
              <w:rPr>
                <w:rFonts w:ascii="Times New Roman" w:hAnsi="Times New Roman" w:eastAsia="Times New Roman" w:cs="Times New Roman"/>
                <w:b w:val="0"/>
                <w:i w:val="0"/>
                <w:sz w:val="19"/>
              </w:rPr>
              <w:t>Dates non vérifiées à la mise à jour</w:t>
            </w:r>
          </w:p>
        </w:tc>
        <w:tc>
          <w:tcPr>
            <w:tcW w:type="dxa" w:w="3515"/>
          </w:tcPr>
          <w:p>
            <w:pPr>
              <w:spacing w:after="0" w:line="240" w:lineRule="auto"/>
              <w:jc w:val="left"/>
            </w:pPr>
            <w:r>
              <w:rPr>
                <w:rFonts w:ascii="Times New Roman" w:hAnsi="Times New Roman" w:eastAsia="Times New Roman" w:cs="Times New Roman"/>
                <w:b w:val="0"/>
                <w:i w:val="0"/>
                <w:sz w:val="19"/>
              </w:rPr>
              <w:t>updateContract ne contrôle pas endDate par rapport à startDate</w:t>
            </w:r>
          </w:p>
        </w:tc>
        <w:tc>
          <w:tcPr>
            <w:tcW w:type="dxa" w:w="2948"/>
          </w:tcPr>
          <w:p>
            <w:pPr>
              <w:spacing w:after="0" w:line="240" w:lineRule="auto"/>
              <w:jc w:val="left"/>
            </w:pPr>
            <w:r>
              <w:rPr>
                <w:rFonts w:ascii="Times New Roman" w:hAnsi="Times New Roman" w:eastAsia="Times New Roman" w:cs="Times New Roman"/>
                <w:b w:val="0"/>
                <w:i w:val="0"/>
                <w:sz w:val="19"/>
              </w:rPr>
              <w:t>Appliquer la règle RM1 à la mise à jour</w:t>
            </w:r>
          </w:p>
        </w:tc>
      </w:tr>
      <w:tr>
        <w:tc>
          <w:tcPr>
            <w:tcW w:type="dxa" w:w="2041"/>
          </w:tcPr>
          <w:p>
            <w:pPr>
              <w:spacing w:after="0" w:line="240" w:lineRule="auto"/>
              <w:jc w:val="left"/>
            </w:pPr>
            <w:r>
              <w:rPr>
                <w:rFonts w:ascii="Times New Roman" w:hAnsi="Times New Roman" w:eastAsia="Times New Roman" w:cs="Times New Roman"/>
                <w:b w:val="0"/>
                <w:i w:val="0"/>
                <w:sz w:val="19"/>
              </w:rPr>
              <w:t>Erreurs toutes en 400</w:t>
            </w:r>
          </w:p>
        </w:tc>
        <w:tc>
          <w:tcPr>
            <w:tcW w:type="dxa" w:w="3515"/>
          </w:tcPr>
          <w:p>
            <w:pPr>
              <w:spacing w:after="0" w:line="240" w:lineRule="auto"/>
              <w:jc w:val="left"/>
            </w:pPr>
            <w:r>
              <w:rPr>
                <w:rFonts w:ascii="Times New Roman" w:hAnsi="Times New Roman" w:eastAsia="Times New Roman" w:cs="Times New Roman"/>
                <w:b w:val="0"/>
                <w:i w:val="0"/>
                <w:sz w:val="19"/>
              </w:rPr>
              <w:t>Gestionnaire unique pour RuntimeException, y compris « non trouvé »</w:t>
            </w:r>
          </w:p>
        </w:tc>
        <w:tc>
          <w:tcPr>
            <w:tcW w:type="dxa" w:w="2948"/>
          </w:tcPr>
          <w:p>
            <w:pPr>
              <w:spacing w:after="0" w:line="240" w:lineRule="auto"/>
              <w:jc w:val="left"/>
            </w:pPr>
            <w:r>
              <w:rPr>
                <w:rFonts w:ascii="Times New Roman" w:hAnsi="Times New Roman" w:eastAsia="Times New Roman" w:cs="Times New Roman"/>
                <w:b w:val="0"/>
                <w:i w:val="0"/>
                <w:sz w:val="19"/>
              </w:rPr>
              <w:t>Gestionnaires par type d'exception (404, 403, 409) avec un format d'erreur normalisé</w:t>
            </w:r>
          </w:p>
        </w:tc>
      </w:tr>
      <w:tr>
        <w:tc>
          <w:tcPr>
            <w:tcW w:type="dxa" w:w="2041"/>
          </w:tcPr>
          <w:p>
            <w:pPr>
              <w:spacing w:after="0" w:line="240" w:lineRule="auto"/>
              <w:jc w:val="left"/>
            </w:pPr>
            <w:r>
              <w:rPr>
                <w:rFonts w:ascii="Times New Roman" w:hAnsi="Times New Roman" w:eastAsia="Times New Roman" w:cs="Times New Roman"/>
                <w:b w:val="0"/>
                <w:i w:val="0"/>
                <w:sz w:val="19"/>
              </w:rPr>
              <w:t>Secrets en clair</w:t>
            </w:r>
          </w:p>
        </w:tc>
        <w:tc>
          <w:tcPr>
            <w:tcW w:type="dxa" w:w="3515"/>
          </w:tcPr>
          <w:p>
            <w:pPr>
              <w:spacing w:after="0" w:line="240" w:lineRule="auto"/>
              <w:jc w:val="left"/>
            </w:pPr>
            <w:r>
              <w:rPr>
                <w:rFonts w:ascii="Times New Roman" w:hAnsi="Times New Roman" w:eastAsia="Times New Roman" w:cs="Times New Roman"/>
                <w:b w:val="0"/>
                <w:i w:val="0"/>
                <w:sz w:val="19"/>
              </w:rPr>
              <w:t>Clé JWT et identifiants PostgreSQL par défaut dans application.yaml et docker-compose.yml</w:t>
            </w:r>
          </w:p>
        </w:tc>
        <w:tc>
          <w:tcPr>
            <w:tcW w:type="dxa" w:w="2948"/>
          </w:tcPr>
          <w:p>
            <w:pPr>
              <w:spacing w:after="0" w:line="240" w:lineRule="auto"/>
              <w:jc w:val="left"/>
            </w:pPr>
            <w:r>
              <w:rPr>
                <w:rFonts w:ascii="Times New Roman" w:hAnsi="Times New Roman" w:eastAsia="Times New Roman" w:cs="Times New Roman"/>
                <w:b w:val="0"/>
                <w:i w:val="0"/>
                <w:sz w:val="19"/>
              </w:rPr>
              <w:t>Variables d'environnement ; secrets hors du dépôt</w:t>
            </w:r>
          </w:p>
        </w:tc>
      </w:tr>
      <w:tr>
        <w:tc>
          <w:tcPr>
            <w:tcW w:type="dxa" w:w="2041"/>
          </w:tcPr>
          <w:p>
            <w:pPr>
              <w:spacing w:after="0" w:line="240" w:lineRule="auto"/>
              <w:jc w:val="left"/>
            </w:pPr>
            <w:r>
              <w:rPr>
                <w:rFonts w:ascii="Times New Roman" w:hAnsi="Times New Roman" w:eastAsia="Times New Roman" w:cs="Times New Roman"/>
                <w:b w:val="0"/>
                <w:i w:val="0"/>
                <w:sz w:val="19"/>
              </w:rPr>
              <w:t>Justificatifs non contrôlés</w:t>
            </w:r>
          </w:p>
        </w:tc>
        <w:tc>
          <w:tcPr>
            <w:tcW w:type="dxa" w:w="3515"/>
          </w:tcPr>
          <w:p>
            <w:pPr>
              <w:spacing w:after="0" w:line="240" w:lineRule="auto"/>
              <w:jc w:val="left"/>
            </w:pPr>
            <w:r>
              <w:rPr>
                <w:rFonts w:ascii="Times New Roman" w:hAnsi="Times New Roman" w:eastAsia="Times New Roman" w:cs="Times New Roman"/>
                <w:b w:val="0"/>
                <w:i w:val="0"/>
                <w:sz w:val="19"/>
              </w:rPr>
              <w:t>Pas de contrôle de type ni de taille ; pas de volume Docker dédié</w:t>
            </w:r>
          </w:p>
        </w:tc>
        <w:tc>
          <w:tcPr>
            <w:tcW w:type="dxa" w:w="2948"/>
          </w:tcPr>
          <w:p>
            <w:pPr>
              <w:spacing w:after="0" w:line="240" w:lineRule="auto"/>
              <w:jc w:val="left"/>
            </w:pPr>
            <w:r>
              <w:rPr>
                <w:rFonts w:ascii="Times New Roman" w:hAnsi="Times New Roman" w:eastAsia="Times New Roman" w:cs="Times New Roman"/>
                <w:b w:val="0"/>
                <w:i w:val="0"/>
                <w:sz w:val="19"/>
              </w:rPr>
              <w:t>Liste des types autorisés, taille maximale, volume dédié</w:t>
            </w:r>
          </w:p>
        </w:tc>
      </w:tr>
      <w:tr>
        <w:tc>
          <w:tcPr>
            <w:tcW w:type="dxa" w:w="2041"/>
          </w:tcPr>
          <w:p>
            <w:pPr>
              <w:spacing w:after="0" w:line="240" w:lineRule="auto"/>
              <w:jc w:val="left"/>
            </w:pPr>
            <w:r>
              <w:rPr>
                <w:rFonts w:ascii="Times New Roman" w:hAnsi="Times New Roman" w:eastAsia="Times New Roman" w:cs="Times New Roman"/>
                <w:b w:val="0"/>
                <w:i w:val="0"/>
                <w:sz w:val="19"/>
              </w:rPr>
              <w:t>Numéros générés par l'horloge</w:t>
            </w:r>
          </w:p>
        </w:tc>
        <w:tc>
          <w:tcPr>
            <w:tcW w:type="dxa" w:w="3515"/>
          </w:tcPr>
          <w:p>
            <w:pPr>
              <w:spacing w:after="0" w:line="240" w:lineRule="auto"/>
              <w:jc w:val="left"/>
            </w:pPr>
            <w:r>
              <w:rPr>
                <w:rFonts w:ascii="Times New Roman" w:hAnsi="Times New Roman" w:eastAsia="Times New Roman" w:cs="Times New Roman"/>
                <w:b w:val="0"/>
                <w:i w:val="0"/>
                <w:sz w:val="19"/>
              </w:rPr>
              <w:t>Numéros construits avec les millisecondes modulo 100 000 : risque de collision</w:t>
            </w:r>
          </w:p>
        </w:tc>
        <w:tc>
          <w:tcPr>
            <w:tcW w:type="dxa" w:w="2948"/>
          </w:tcPr>
          <w:p>
            <w:pPr>
              <w:spacing w:after="0" w:line="240" w:lineRule="auto"/>
              <w:jc w:val="left"/>
            </w:pPr>
            <w:r>
              <w:rPr>
                <w:rFonts w:ascii="Times New Roman" w:hAnsi="Times New Roman" w:eastAsia="Times New Roman" w:cs="Times New Roman"/>
                <w:b w:val="0"/>
                <w:i w:val="0"/>
                <w:sz w:val="19"/>
              </w:rPr>
              <w:t>Séquence en base de données ou identifiant UUID</w:t>
            </w:r>
          </w:p>
        </w:tc>
      </w:tr>
      <w:tr>
        <w:tc>
          <w:tcPr>
            <w:tcW w:type="dxa" w:w="2041"/>
          </w:tcPr>
          <w:p>
            <w:pPr>
              <w:spacing w:after="0" w:line="240" w:lineRule="auto"/>
              <w:jc w:val="left"/>
            </w:pPr>
            <w:r>
              <w:rPr>
                <w:rFonts w:ascii="Times New Roman" w:hAnsi="Times New Roman" w:eastAsia="Times New Roman" w:cs="Times New Roman"/>
                <w:b w:val="0"/>
                <w:i w:val="0"/>
                <w:sz w:val="19"/>
              </w:rPr>
              <w:t>Schéma géré par Hibernate</w:t>
            </w:r>
          </w:p>
        </w:tc>
        <w:tc>
          <w:tcPr>
            <w:tcW w:type="dxa" w:w="3515"/>
          </w:tcPr>
          <w:p>
            <w:pPr>
              <w:spacing w:after="0" w:line="240" w:lineRule="auto"/>
              <w:jc w:val="left"/>
            </w:pPr>
            <w:r>
              <w:rPr>
                <w:rFonts w:ascii="Times New Roman" w:hAnsi="Times New Roman" w:eastAsia="Times New Roman" w:cs="Times New Roman"/>
                <w:b w:val="0"/>
                <w:i w:val="0"/>
                <w:sz w:val="19"/>
              </w:rPr>
              <w:t>spring.jpa.hibernate.ddl-auto = update ; aucune migration</w:t>
            </w:r>
          </w:p>
        </w:tc>
        <w:tc>
          <w:tcPr>
            <w:tcW w:type="dxa" w:w="2948"/>
          </w:tcPr>
          <w:p>
            <w:pPr>
              <w:spacing w:after="0" w:line="240" w:lineRule="auto"/>
              <w:jc w:val="left"/>
            </w:pPr>
            <w:r>
              <w:rPr>
                <w:rFonts w:ascii="Times New Roman" w:hAnsi="Times New Roman" w:eastAsia="Times New Roman" w:cs="Times New Roman"/>
                <w:b w:val="0"/>
                <w:i w:val="0"/>
                <w:sz w:val="19"/>
              </w:rPr>
              <w:t>Migrations versionnées (Flyway ou Liquibase)</w:t>
            </w:r>
          </w:p>
        </w:tc>
      </w:tr>
      <w:tr>
        <w:tc>
          <w:tcPr>
            <w:tcW w:type="dxa" w:w="2041"/>
          </w:tcPr>
          <w:p>
            <w:pPr>
              <w:spacing w:after="0" w:line="240" w:lineRule="auto"/>
              <w:jc w:val="left"/>
            </w:pPr>
            <w:r>
              <w:rPr>
                <w:rFonts w:ascii="Times New Roman" w:hAnsi="Times New Roman" w:eastAsia="Times New Roman" w:cs="Times New Roman"/>
                <w:b w:val="0"/>
                <w:i w:val="0"/>
                <w:sz w:val="19"/>
              </w:rPr>
              <w:t>Tests insuffisants</w:t>
            </w:r>
          </w:p>
        </w:tc>
        <w:tc>
          <w:tcPr>
            <w:tcW w:type="dxa" w:w="3515"/>
          </w:tcPr>
          <w:p>
            <w:pPr>
              <w:spacing w:after="0" w:line="240" w:lineRule="auto"/>
              <w:jc w:val="left"/>
            </w:pPr>
            <w:r>
              <w:rPr>
                <w:rFonts w:ascii="Times New Roman" w:hAnsi="Times New Roman" w:eastAsia="Times New Roman" w:cs="Times New Roman"/>
                <w:b w:val="0"/>
                <w:i w:val="0"/>
                <w:sz w:val="19"/>
              </w:rPr>
              <w:t>Un test unitaire ; aucun test de contrôleur ni d'intégration</w:t>
            </w:r>
          </w:p>
        </w:tc>
        <w:tc>
          <w:tcPr>
            <w:tcW w:type="dxa" w:w="2948"/>
          </w:tcPr>
          <w:p>
            <w:pPr>
              <w:spacing w:after="0" w:line="240" w:lineRule="auto"/>
              <w:jc w:val="left"/>
            </w:pPr>
            <w:r>
              <w:rPr>
                <w:rFonts w:ascii="Times New Roman" w:hAnsi="Times New Roman" w:eastAsia="Times New Roman" w:cs="Times New Roman"/>
                <w:b w:val="0"/>
                <w:i w:val="0"/>
                <w:sz w:val="19"/>
              </w:rPr>
              <w:t>Tests MockMvc et tests d'intégration sur une base dédiée</w:t>
            </w:r>
          </w:p>
        </w:tc>
      </w:tr>
      <w:tr>
        <w:tc>
          <w:tcPr>
            <w:tcW w:type="dxa" w:w="2041"/>
          </w:tcPr>
          <w:p>
            <w:pPr>
              <w:spacing w:after="0" w:line="240" w:lineRule="auto"/>
              <w:jc w:val="left"/>
            </w:pPr>
            <w:r>
              <w:rPr>
                <w:rFonts w:ascii="Times New Roman" w:hAnsi="Times New Roman" w:eastAsia="Times New Roman" w:cs="Times New Roman"/>
                <w:b w:val="0"/>
                <w:i w:val="0"/>
                <w:sz w:val="19"/>
              </w:rPr>
              <w:t>Justificatifs versionnés</w:t>
            </w:r>
          </w:p>
        </w:tc>
        <w:tc>
          <w:tcPr>
            <w:tcW w:type="dxa" w:w="3515"/>
          </w:tcPr>
          <w:p>
            <w:pPr>
              <w:spacing w:after="0" w:line="240" w:lineRule="auto"/>
              <w:jc w:val="left"/>
            </w:pPr>
            <w:r>
              <w:rPr>
                <w:rFonts w:ascii="Times New Roman" w:hAnsi="Times New Roman" w:eastAsia="Times New Roman" w:cs="Times New Roman"/>
                <w:b w:val="0"/>
                <w:i w:val="0"/>
                <w:sz w:val="19"/>
              </w:rPr>
              <w:t>Le dossier uploads/ contient deux fichiers .jpg suivis par Git ; .gitignore ne l'exclut pas (contenu non examiné)</w:t>
            </w:r>
          </w:p>
        </w:tc>
        <w:tc>
          <w:tcPr>
            <w:tcW w:type="dxa" w:w="2948"/>
          </w:tcPr>
          <w:p>
            <w:pPr>
              <w:spacing w:after="0" w:line="240" w:lineRule="auto"/>
              <w:jc w:val="left"/>
            </w:pPr>
            <w:r>
              <w:rPr>
                <w:rFonts w:ascii="Times New Roman" w:hAnsi="Times New Roman" w:eastAsia="Times New Roman" w:cs="Times New Roman"/>
                <w:b w:val="0"/>
                <w:i w:val="0"/>
                <w:sz w:val="19"/>
              </w:rPr>
              <w:t>Retirer ces fichiers du suivi et ignorer le dossier ; ne pas versionner de données personnelles</w:t>
            </w:r>
          </w:p>
        </w:tc>
      </w:tr>
    </w:tbl>
    <w:p>
      <w:pPr>
        <w:spacing w:after="40"/>
      </w:pPr>
    </w:p>
    <w:p>
      <w:pPr>
        <w:pStyle w:val="Heading2"/>
      </w:pPr>
      <w:r>
        <w:t>5.3 Analyse critique</w:t>
      </w:r>
    </w:p>
    <w:p>
      <w:r>
        <w:rPr>
          <w:rFonts w:ascii="Times New Roman" w:hAnsi="Times New Roman" w:eastAsia="Times New Roman" w:cs="Times New Roman"/>
          <w:b w:val="0"/>
          <w:i w:val="0"/>
        </w:rPr>
        <w:t>Le projet réussit sa partie structurante : les règles métier sont centralisées dans la couche service, les entités ne sont pas exposées directement grâce aux DTO, et la documentation est générée à partir du code. Il présente toutefois un écart entre ce qu'il affiche et ce qu'il garantit. Les annotations de rôle et l'absence de contrôle sur les dates de contrat en sont des exemples. Le plus grave est l'inscription publique avec choix du rôle, qui annule en pratique le contrôle d'accès par rôle.</w:t>
      </w:r>
    </w:p>
    <w:p>
      <w:pPr>
        <w:pStyle w:val="Heading1"/>
      </w:pPr>
      <w:r>
        <w:t>6. Bilan des compétences acquises</w:t>
      </w:r>
    </w:p>
    <w:p>
      <w:pPr>
        <w:pStyle w:val="Heading2"/>
      </w:pPr>
      <w:r>
        <w:t>6.1 Compétences techniques</w:t>
      </w:r>
    </w:p>
    <w:p>
      <w:pPr>
        <w:keepNext/>
      </w:pPr>
      <w:r>
        <w:rPr>
          <w:rFonts w:ascii="Times New Roman" w:hAnsi="Times New Roman" w:eastAsia="Times New Roman" w:cs="Times New Roman"/>
          <w:b w:val="0"/>
          <w:i w:val="0"/>
        </w:rPr>
        <w:t xml:space="preserve">Le tableau </w:t>
      </w:r>
      <w:r>
        <w:fldChar w:fldCharType="begin"/>
      </w:r>
      <w:r>
        <w:instrText xml:space="preserve"> REF ref_tab_comp \h </w:instrText>
      </w:r>
      <w:r>
        <w:fldChar w:fldCharType="separate"/>
      </w:r>
      <w:r>
        <w:rPr>
          <w:rFonts w:ascii="Times New Roman" w:hAnsi="Times New Roman" w:eastAsia="Times New Roman" w:cs="Times New Roman"/>
          <w:b w:val="0"/>
          <w:i w:val="0"/>
        </w:rPr>
        <w:t>Tableau 7</w:t>
      </w:r>
      <w:r>
        <w:fldChar w:fldCharType="end"/>
      </w:r>
      <w:r>
        <w:rPr>
          <w:rFonts w:ascii="Times New Roman" w:hAnsi="Times New Roman" w:eastAsia="Times New Roman" w:cs="Times New Roman"/>
          <w:b w:val="0"/>
          <w:i w:val="0"/>
        </w:rPr>
        <w:t xml:space="preserve"> relie les compétences mobilisées aux éléments observables dans le dépôt. Le niveau proposé doit être validé par l'étudiant.</w:t>
      </w:r>
    </w:p>
    <w:p>
      <w:pPr>
        <w:pStyle w:val="Caption"/>
        <w:keepNext/>
        <w:jc w:val="left"/>
      </w:pPr>
      <w:bookmarkStart w:id="109" w:name="ref_tab_comp"/>
      <w:r>
        <w:rPr>
          <w:rFonts w:ascii="Times New Roman" w:hAnsi="Times New Roman" w:eastAsia="Times New Roman" w:cs="Times New Roman"/>
          <w:b/>
          <w:i w:val="0"/>
          <w:sz w:val="20"/>
        </w:rPr>
        <w:t xml:space="preserve">Tableau </w:t>
      </w:r>
      <w:r>
        <w:rPr>
          <w:sz w:val="20"/>
        </w:rPr>
        <w:fldChar w:fldCharType="begin"/>
      </w:r>
      <w:r>
        <w:instrText xml:space="preserve"> SEQ Tableau \* ARABIC </w:instrText>
      </w:r>
      <w:r>
        <w:rPr>
          <w:sz w:val="20"/>
        </w:rPr>
        <w:fldChar w:fldCharType="separate"/>
      </w:r>
      <w:r>
        <w:rPr>
          <w:rFonts w:ascii="Times New Roman" w:hAnsi="Times New Roman" w:eastAsia="Times New Roman" w:cs="Times New Roman"/>
          <w:b/>
          <w:i w:val="0"/>
          <w:sz w:val="20"/>
        </w:rPr>
        <w:t>7</w:t>
      </w:r>
      <w:r>
        <w:rPr>
          <w:sz w:val="20"/>
        </w:rPr>
        <w:fldChar w:fldCharType="end"/>
      </w:r>
      <w:bookmarkEnd w:id="109"/>
      <w:r>
        <w:rPr>
          <w:rFonts w:ascii="Times New Roman" w:hAnsi="Times New Roman" w:eastAsia="Times New Roman" w:cs="Times New Roman"/>
          <w:b w:val="0"/>
          <w:i w:val="0"/>
          <w:sz w:val="20"/>
        </w:rPr>
        <w:t xml:space="preserve"> — Compétences mobilisées et éléments observables</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2721"/>
            <w:shd w:val="clear" w:color="auto" w:fill="D9D9D9"/>
          </w:tcPr>
          <w:p>
            <w:pPr>
              <w:spacing w:after="0" w:line="240" w:lineRule="auto"/>
              <w:jc w:val="left"/>
            </w:pPr>
            <w:r>
              <w:rPr>
                <w:rFonts w:ascii="Times New Roman" w:hAnsi="Times New Roman" w:eastAsia="Times New Roman" w:cs="Times New Roman"/>
                <w:b/>
                <w:i w:val="0"/>
                <w:sz w:val="20"/>
              </w:rPr>
              <w:t>Domaine</w:t>
            </w:r>
          </w:p>
        </w:tc>
        <w:tc>
          <w:tcPr>
            <w:tcW w:type="dxa" w:w="3969"/>
            <w:shd w:val="clear" w:color="auto" w:fill="D9D9D9"/>
          </w:tcPr>
          <w:p>
            <w:pPr>
              <w:spacing w:after="0" w:line="240" w:lineRule="auto"/>
              <w:jc w:val="left"/>
            </w:pPr>
            <w:r>
              <w:rPr>
                <w:rFonts w:ascii="Times New Roman" w:hAnsi="Times New Roman" w:eastAsia="Times New Roman" w:cs="Times New Roman"/>
                <w:b/>
                <w:i w:val="0"/>
                <w:sz w:val="20"/>
              </w:rPr>
              <w:t>Mise en œuvre observée</w:t>
            </w:r>
          </w:p>
        </w:tc>
        <w:tc>
          <w:tcPr>
            <w:tcW w:type="dxa" w:w="1814"/>
            <w:shd w:val="clear" w:color="auto" w:fill="D9D9D9"/>
          </w:tcPr>
          <w:p>
            <w:pPr>
              <w:spacing w:after="0" w:line="240" w:lineRule="auto"/>
              <w:jc w:val="left"/>
            </w:pPr>
            <w:r>
              <w:rPr>
                <w:rFonts w:ascii="Times New Roman" w:hAnsi="Times New Roman" w:eastAsia="Times New Roman" w:cs="Times New Roman"/>
                <w:b/>
                <w:i w:val="0"/>
                <w:sz w:val="20"/>
              </w:rPr>
              <w:t>Niveau proposé (à valider)</w:t>
            </w:r>
          </w:p>
        </w:tc>
      </w:tr>
      <w:tr>
        <w:tc>
          <w:tcPr>
            <w:tcW w:type="dxa" w:w="2721"/>
          </w:tcPr>
          <w:p>
            <w:pPr>
              <w:spacing w:after="0" w:line="240" w:lineRule="auto"/>
              <w:jc w:val="left"/>
            </w:pPr>
            <w:r>
              <w:rPr>
                <w:rFonts w:ascii="Times New Roman" w:hAnsi="Times New Roman" w:eastAsia="Times New Roman" w:cs="Times New Roman"/>
                <w:b w:val="0"/>
                <w:i w:val="0"/>
                <w:sz w:val="20"/>
              </w:rPr>
              <w:t>Java 17 et programmation orientée objet</w:t>
            </w:r>
          </w:p>
        </w:tc>
        <w:tc>
          <w:tcPr>
            <w:tcW w:type="dxa" w:w="3969"/>
          </w:tcPr>
          <w:p>
            <w:pPr>
              <w:spacing w:after="0" w:line="240" w:lineRule="auto"/>
              <w:jc w:val="left"/>
            </w:pPr>
            <w:r>
              <w:rPr>
                <w:rFonts w:ascii="Times New Roman" w:hAnsi="Times New Roman" w:eastAsia="Times New Roman" w:cs="Times New Roman"/>
                <w:b w:val="0"/>
                <w:i w:val="0"/>
                <w:sz w:val="20"/>
              </w:rPr>
              <w:t>Entités, énumérations, records, injection par constructeur</w:t>
            </w:r>
          </w:p>
        </w:tc>
        <w:tc>
          <w:tcPr>
            <w:tcW w:type="dxa" w:w="1814"/>
          </w:tcPr>
          <w:p>
            <w:pPr>
              <w:spacing w:after="0" w:line="240" w:lineRule="auto"/>
              <w:jc w:val="left"/>
            </w:pPr>
            <w:r>
              <w:rPr>
                <w:rFonts w:ascii="Times New Roman" w:hAnsi="Times New Roman" w:eastAsia="Times New Roman" w:cs="Times New Roman"/>
                <w:b w:val="0"/>
                <w:i w:val="0"/>
                <w:sz w:val="20"/>
              </w:rPr>
              <w:t>Pratique</w:t>
            </w:r>
          </w:p>
        </w:tc>
      </w:tr>
      <w:tr>
        <w:tc>
          <w:tcPr>
            <w:tcW w:type="dxa" w:w="2721"/>
          </w:tcPr>
          <w:p>
            <w:pPr>
              <w:spacing w:after="0" w:line="240" w:lineRule="auto"/>
              <w:jc w:val="left"/>
            </w:pPr>
            <w:r>
              <w:rPr>
                <w:rFonts w:ascii="Times New Roman" w:hAnsi="Times New Roman" w:eastAsia="Times New Roman" w:cs="Times New Roman"/>
                <w:b w:val="0"/>
                <w:i w:val="0"/>
                <w:sz w:val="20"/>
              </w:rPr>
              <w:t>API REST avec Spring Boot</w:t>
            </w:r>
          </w:p>
        </w:tc>
        <w:tc>
          <w:tcPr>
            <w:tcW w:type="dxa" w:w="3969"/>
          </w:tcPr>
          <w:p>
            <w:pPr>
              <w:spacing w:after="0" w:line="240" w:lineRule="auto"/>
              <w:jc w:val="left"/>
            </w:pPr>
            <w:r>
              <w:rPr>
                <w:rFonts w:ascii="Times New Roman" w:hAnsi="Times New Roman" w:eastAsia="Times New Roman" w:cs="Times New Roman"/>
                <w:b w:val="0"/>
                <w:i w:val="0"/>
                <w:sz w:val="20"/>
              </w:rPr>
              <w:t>17 points d'accès, DTO, validation, gestion d'erreurs</w:t>
            </w:r>
          </w:p>
        </w:tc>
        <w:tc>
          <w:tcPr>
            <w:tcW w:type="dxa" w:w="1814"/>
          </w:tcPr>
          <w:p>
            <w:pPr>
              <w:spacing w:after="0" w:line="240" w:lineRule="auto"/>
              <w:jc w:val="left"/>
            </w:pPr>
            <w:r>
              <w:rPr>
                <w:rFonts w:ascii="Times New Roman" w:hAnsi="Times New Roman" w:eastAsia="Times New Roman" w:cs="Times New Roman"/>
                <w:b w:val="0"/>
                <w:i w:val="0"/>
                <w:sz w:val="20"/>
              </w:rPr>
              <w:t>Pratique</w:t>
            </w:r>
          </w:p>
        </w:tc>
      </w:tr>
      <w:tr>
        <w:tc>
          <w:tcPr>
            <w:tcW w:type="dxa" w:w="2721"/>
          </w:tcPr>
          <w:p>
            <w:pPr>
              <w:spacing w:after="0" w:line="240" w:lineRule="auto"/>
              <w:jc w:val="left"/>
            </w:pPr>
            <w:r>
              <w:rPr>
                <w:rFonts w:ascii="Times New Roman" w:hAnsi="Times New Roman" w:eastAsia="Times New Roman" w:cs="Times New Roman"/>
                <w:b w:val="0"/>
                <w:i w:val="0"/>
                <w:sz w:val="20"/>
              </w:rPr>
              <w:t>Persistance JPA et PostgreSQL</w:t>
            </w:r>
          </w:p>
        </w:tc>
        <w:tc>
          <w:tcPr>
            <w:tcW w:type="dxa" w:w="3969"/>
          </w:tcPr>
          <w:p>
            <w:pPr>
              <w:spacing w:after="0" w:line="240" w:lineRule="auto"/>
              <w:jc w:val="left"/>
            </w:pPr>
            <w:r>
              <w:rPr>
                <w:rFonts w:ascii="Times New Roman" w:hAnsi="Times New Roman" w:eastAsia="Times New Roman" w:cs="Times New Roman"/>
                <w:b w:val="0"/>
                <w:i w:val="0"/>
                <w:sz w:val="20"/>
              </w:rPr>
              <w:t>Mapping, contraintes d'unicité et de non-nullité, relations, transactions</w:t>
            </w:r>
          </w:p>
        </w:tc>
        <w:tc>
          <w:tcPr>
            <w:tcW w:type="dxa" w:w="1814"/>
          </w:tcPr>
          <w:p>
            <w:pPr>
              <w:spacing w:after="0" w:line="240" w:lineRule="auto"/>
              <w:jc w:val="left"/>
            </w:pPr>
            <w:r>
              <w:rPr>
                <w:rFonts w:ascii="Times New Roman" w:hAnsi="Times New Roman" w:eastAsia="Times New Roman" w:cs="Times New Roman"/>
                <w:b w:val="0"/>
                <w:i w:val="0"/>
                <w:sz w:val="20"/>
              </w:rPr>
              <w:t>Pratique</w:t>
            </w:r>
          </w:p>
        </w:tc>
      </w:tr>
      <w:tr>
        <w:tc>
          <w:tcPr>
            <w:tcW w:type="dxa" w:w="2721"/>
          </w:tcPr>
          <w:p>
            <w:pPr>
              <w:spacing w:after="0" w:line="240" w:lineRule="auto"/>
              <w:jc w:val="left"/>
            </w:pPr>
            <w:r>
              <w:rPr>
                <w:rFonts w:ascii="Times New Roman" w:hAnsi="Times New Roman" w:eastAsia="Times New Roman" w:cs="Times New Roman"/>
                <w:b w:val="0"/>
                <w:i w:val="0"/>
                <w:sz w:val="20"/>
              </w:rPr>
              <w:t>Sécurité applicative</w:t>
            </w:r>
          </w:p>
        </w:tc>
        <w:tc>
          <w:tcPr>
            <w:tcW w:type="dxa" w:w="3969"/>
          </w:tcPr>
          <w:p>
            <w:pPr>
              <w:spacing w:after="0" w:line="240" w:lineRule="auto"/>
              <w:jc w:val="left"/>
            </w:pPr>
            <w:r>
              <w:rPr>
                <w:rFonts w:ascii="Times New Roman" w:hAnsi="Times New Roman" w:eastAsia="Times New Roman" w:cs="Times New Roman"/>
                <w:b w:val="0"/>
                <w:i w:val="0"/>
                <w:sz w:val="20"/>
              </w:rPr>
              <w:t>JWT, BCrypt, filtre d'authentification, règles par chemin ; limites identifiées</w:t>
            </w:r>
          </w:p>
        </w:tc>
        <w:tc>
          <w:tcPr>
            <w:tcW w:type="dxa" w:w="1814"/>
          </w:tcPr>
          <w:p>
            <w:pPr>
              <w:spacing w:after="0" w:line="240" w:lineRule="auto"/>
              <w:jc w:val="left"/>
            </w:pPr>
            <w:r>
              <w:rPr>
                <w:rFonts w:ascii="Times New Roman" w:hAnsi="Times New Roman" w:eastAsia="Times New Roman" w:cs="Times New Roman"/>
                <w:b w:val="0"/>
                <w:i w:val="0"/>
                <w:sz w:val="20"/>
              </w:rPr>
              <w:t>Initiation, à approfondir</w:t>
            </w:r>
          </w:p>
        </w:tc>
      </w:tr>
      <w:tr>
        <w:tc>
          <w:tcPr>
            <w:tcW w:type="dxa" w:w="2721"/>
          </w:tcPr>
          <w:p>
            <w:pPr>
              <w:spacing w:after="0" w:line="240" w:lineRule="auto"/>
              <w:jc w:val="left"/>
            </w:pPr>
            <w:r>
              <w:rPr>
                <w:rFonts w:ascii="Times New Roman" w:hAnsi="Times New Roman" w:eastAsia="Times New Roman" w:cs="Times New Roman"/>
                <w:b w:val="0"/>
                <w:i w:val="0"/>
                <w:sz w:val="20"/>
              </w:rPr>
              <w:t>Documentation d'API</w:t>
            </w:r>
          </w:p>
        </w:tc>
        <w:tc>
          <w:tcPr>
            <w:tcW w:type="dxa" w:w="3969"/>
          </w:tcPr>
          <w:p>
            <w:pPr>
              <w:spacing w:after="0" w:line="240" w:lineRule="auto"/>
              <w:jc w:val="left"/>
            </w:pPr>
            <w:r>
              <w:rPr>
                <w:rFonts w:ascii="Times New Roman" w:hAnsi="Times New Roman" w:eastAsia="Times New Roman" w:cs="Times New Roman"/>
                <w:b w:val="0"/>
                <w:i w:val="0"/>
                <w:sz w:val="20"/>
              </w:rPr>
              <w:t>springdoc-openapi, Swagger UI, schéma bearerAuth</w:t>
            </w:r>
          </w:p>
        </w:tc>
        <w:tc>
          <w:tcPr>
            <w:tcW w:type="dxa" w:w="1814"/>
          </w:tcPr>
          <w:p>
            <w:pPr>
              <w:spacing w:after="0" w:line="240" w:lineRule="auto"/>
              <w:jc w:val="left"/>
            </w:pPr>
            <w:r>
              <w:rPr>
                <w:rFonts w:ascii="Times New Roman" w:hAnsi="Times New Roman" w:eastAsia="Times New Roman" w:cs="Times New Roman"/>
                <w:b w:val="0"/>
                <w:i w:val="0"/>
                <w:sz w:val="20"/>
              </w:rPr>
              <w:t>Pratique</w:t>
            </w:r>
          </w:p>
        </w:tc>
      </w:tr>
      <w:tr>
        <w:tc>
          <w:tcPr>
            <w:tcW w:type="dxa" w:w="2721"/>
          </w:tcPr>
          <w:p>
            <w:pPr>
              <w:spacing w:after="0" w:line="240" w:lineRule="auto"/>
              <w:jc w:val="left"/>
            </w:pPr>
            <w:r>
              <w:rPr>
                <w:rFonts w:ascii="Times New Roman" w:hAnsi="Times New Roman" w:eastAsia="Times New Roman" w:cs="Times New Roman"/>
                <w:b w:val="0"/>
                <w:i w:val="0"/>
                <w:sz w:val="20"/>
              </w:rPr>
              <w:t>Conteneurisation</w:t>
            </w:r>
          </w:p>
        </w:tc>
        <w:tc>
          <w:tcPr>
            <w:tcW w:type="dxa" w:w="3969"/>
          </w:tcPr>
          <w:p>
            <w:pPr>
              <w:spacing w:after="0" w:line="240" w:lineRule="auto"/>
              <w:jc w:val="left"/>
            </w:pPr>
            <w:r>
              <w:rPr>
                <w:rFonts w:ascii="Times New Roman" w:hAnsi="Times New Roman" w:eastAsia="Times New Roman" w:cs="Times New Roman"/>
                <w:b w:val="0"/>
                <w:i w:val="0"/>
                <w:sz w:val="20"/>
              </w:rPr>
              <w:t>Dockerfile en deux étapes, Docker Compose, contrôle de santé</w:t>
            </w:r>
          </w:p>
        </w:tc>
        <w:tc>
          <w:tcPr>
            <w:tcW w:type="dxa" w:w="1814"/>
          </w:tcPr>
          <w:p>
            <w:pPr>
              <w:spacing w:after="0" w:line="240" w:lineRule="auto"/>
              <w:jc w:val="left"/>
            </w:pPr>
            <w:r>
              <w:rPr>
                <w:rFonts w:ascii="Times New Roman" w:hAnsi="Times New Roman" w:eastAsia="Times New Roman" w:cs="Times New Roman"/>
                <w:b w:val="0"/>
                <w:i w:val="0"/>
                <w:sz w:val="20"/>
              </w:rPr>
              <w:t>Initiation</w:t>
            </w:r>
          </w:p>
        </w:tc>
      </w:tr>
      <w:tr>
        <w:tc>
          <w:tcPr>
            <w:tcW w:type="dxa" w:w="2721"/>
          </w:tcPr>
          <w:p>
            <w:pPr>
              <w:spacing w:after="0" w:line="240" w:lineRule="auto"/>
              <w:jc w:val="left"/>
            </w:pPr>
            <w:r>
              <w:rPr>
                <w:rFonts w:ascii="Times New Roman" w:hAnsi="Times New Roman" w:eastAsia="Times New Roman" w:cs="Times New Roman"/>
                <w:b w:val="0"/>
                <w:i w:val="0"/>
                <w:sz w:val="20"/>
              </w:rPr>
              <w:t>Angular et TypeScript</w:t>
            </w:r>
          </w:p>
        </w:tc>
        <w:tc>
          <w:tcPr>
            <w:tcW w:type="dxa" w:w="3969"/>
          </w:tcPr>
          <w:p>
            <w:pPr>
              <w:spacing w:after="0" w:line="240" w:lineRule="auto"/>
              <w:jc w:val="left"/>
            </w:pPr>
            <w:r>
              <w:rPr>
                <w:rFonts w:ascii="Times New Roman" w:hAnsi="Times New Roman" w:eastAsia="Times New Roman" w:cs="Times New Roman"/>
                <w:b w:val="0"/>
                <w:i w:val="0"/>
                <w:sz w:val="20"/>
              </w:rPr>
              <w:t>Services, gardes, intercepteur, formulaires, envoi multipart</w:t>
            </w:r>
          </w:p>
        </w:tc>
        <w:tc>
          <w:tcPr>
            <w:tcW w:type="dxa" w:w="1814"/>
          </w:tcPr>
          <w:p>
            <w:pPr>
              <w:spacing w:after="0" w:line="240" w:lineRule="auto"/>
              <w:jc w:val="left"/>
            </w:pPr>
            <w:r>
              <w:rPr>
                <w:rFonts w:ascii="Times New Roman" w:hAnsi="Times New Roman" w:eastAsia="Times New Roman" w:cs="Times New Roman"/>
                <w:b w:val="0"/>
                <w:i w:val="0"/>
                <w:sz w:val="20"/>
              </w:rPr>
              <w:t>Initiation</w:t>
            </w:r>
          </w:p>
        </w:tc>
      </w:tr>
      <w:tr>
        <w:tc>
          <w:tcPr>
            <w:tcW w:type="dxa" w:w="2721"/>
          </w:tcPr>
          <w:p>
            <w:pPr>
              <w:spacing w:after="0" w:line="240" w:lineRule="auto"/>
              <w:jc w:val="left"/>
            </w:pPr>
            <w:r>
              <w:rPr>
                <w:rFonts w:ascii="Times New Roman" w:hAnsi="Times New Roman" w:eastAsia="Times New Roman" w:cs="Times New Roman"/>
                <w:b w:val="0"/>
                <w:i w:val="0"/>
                <w:sz w:val="20"/>
              </w:rPr>
              <w:t>Tests automatisés</w:t>
            </w:r>
          </w:p>
        </w:tc>
        <w:tc>
          <w:tcPr>
            <w:tcW w:type="dxa" w:w="3969"/>
          </w:tcPr>
          <w:p>
            <w:pPr>
              <w:spacing w:after="0" w:line="240" w:lineRule="auto"/>
              <w:jc w:val="left"/>
            </w:pPr>
            <w:r>
              <w:rPr>
                <w:rFonts w:ascii="Times New Roman" w:hAnsi="Times New Roman" w:eastAsia="Times New Roman" w:cs="Times New Roman"/>
                <w:b w:val="0"/>
                <w:i w:val="0"/>
                <w:sz w:val="20"/>
              </w:rPr>
              <w:t>Un test unitaire avec JUnit 5 et Mockito</w:t>
            </w:r>
          </w:p>
        </w:tc>
        <w:tc>
          <w:tcPr>
            <w:tcW w:type="dxa" w:w="1814"/>
          </w:tcPr>
          <w:p>
            <w:pPr>
              <w:spacing w:after="0" w:line="240" w:lineRule="auto"/>
              <w:jc w:val="left"/>
            </w:pPr>
            <w:r>
              <w:rPr>
                <w:rFonts w:ascii="Times New Roman" w:hAnsi="Times New Roman" w:eastAsia="Times New Roman" w:cs="Times New Roman"/>
                <w:b w:val="0"/>
                <w:i w:val="0"/>
                <w:sz w:val="20"/>
              </w:rPr>
              <w:t>Initiation</w:t>
            </w:r>
          </w:p>
        </w:tc>
      </w:tr>
      <w:tr>
        <w:tc>
          <w:tcPr>
            <w:tcW w:type="dxa" w:w="2721"/>
          </w:tcPr>
          <w:p>
            <w:pPr>
              <w:spacing w:after="0" w:line="240" w:lineRule="auto"/>
              <w:jc w:val="left"/>
            </w:pPr>
            <w:r>
              <w:rPr>
                <w:rFonts w:ascii="Times New Roman" w:hAnsi="Times New Roman" w:eastAsia="Times New Roman" w:cs="Times New Roman"/>
                <w:b w:val="0"/>
                <w:i w:val="0"/>
                <w:sz w:val="20"/>
              </w:rPr>
              <w:t>Git et conventions de commit</w:t>
            </w:r>
          </w:p>
        </w:tc>
        <w:tc>
          <w:tcPr>
            <w:tcW w:type="dxa" w:w="3969"/>
          </w:tcPr>
          <w:p>
            <w:pPr>
              <w:spacing w:after="0" w:line="240" w:lineRule="auto"/>
              <w:jc w:val="left"/>
            </w:pPr>
            <w:r>
              <w:rPr>
                <w:rFonts w:ascii="Times New Roman" w:hAnsi="Times New Roman" w:eastAsia="Times New Roman" w:cs="Times New Roman"/>
                <w:b w:val="0"/>
                <w:i w:val="0"/>
                <w:sz w:val="20"/>
              </w:rPr>
              <w:t>36 commits suivant la convention Conventional Commits</w:t>
            </w:r>
          </w:p>
        </w:tc>
        <w:tc>
          <w:tcPr>
            <w:tcW w:type="dxa" w:w="1814"/>
          </w:tcPr>
          <w:p>
            <w:pPr>
              <w:spacing w:after="0" w:line="240" w:lineRule="auto"/>
              <w:jc w:val="left"/>
            </w:pPr>
            <w:r>
              <w:rPr>
                <w:rFonts w:ascii="Times New Roman" w:hAnsi="Times New Roman" w:eastAsia="Times New Roman" w:cs="Times New Roman"/>
                <w:b w:val="0"/>
                <w:i w:val="0"/>
                <w:sz w:val="20"/>
              </w:rPr>
              <w:t>Pratique</w:t>
            </w:r>
          </w:p>
        </w:tc>
      </w:tr>
    </w:tbl>
    <w:p>
      <w:pPr>
        <w:spacing w:after="40"/>
      </w:pPr>
    </w:p>
    <w:p>
      <w:r>
        <w:rPr>
          <w:rFonts w:ascii="Times New Roman" w:hAnsi="Times New Roman" w:eastAsia="Times New Roman" w:cs="Times New Roman"/>
          <w:b w:val="0"/>
          <w:i w:val="0"/>
        </w:rPr>
        <w:t>Les compétences découvertes pendant le stage sont celles pour lesquelles le dépôt montre une première mise en œuvre : Angular, Docker et les tests. Les compétences approfondies sont celles qui apparaissent dans plusieurs commits successifs : API REST, persistance et validation.</w:t>
      </w:r>
    </w:p>
    <w:p>
      <w:pPr>
        <w:pStyle w:val="Heading2"/>
      </w:pPr>
      <w:r>
        <w:t>6.2 Méthode de travail</w:t>
      </w:r>
    </w:p>
    <w:p>
      <w:r>
        <w:rPr>
          <w:rFonts w:ascii="Times New Roman" w:hAnsi="Times New Roman" w:eastAsia="Times New Roman" w:cs="Times New Roman"/>
          <w:b w:val="0"/>
          <w:i w:val="0"/>
        </w:rPr>
        <w:t>Le travail s'est appuyé sur une modélisation validée avec l'encadrante avant le développement, sur des commits de taille limitée aux messages normalisés, et sur une documentation mise à jour au fil de l'eau, dont le diagramme d'architecture modifié le 13 juillet. L'écart de méthode le plus net concerne les tests : ils sont peu nombreux, et une règle comme RM11 a pu être abandonnée sans qu'aucun test ne le signale.</w:t>
      </w:r>
    </w:p>
    <w:p>
      <w:pPr>
        <w:pStyle w:val="Heading2"/>
      </w:pPr>
      <w:r>
        <w:t>6.3 Lien avec la formation</w:t>
      </w:r>
    </w:p>
    <w:p>
      <w:r>
        <w:rPr>
          <w:rFonts w:ascii="Times New Roman" w:hAnsi="Times New Roman" w:eastAsia="Times New Roman" w:cs="Times New Roman"/>
          <w:b w:val="0"/>
          <w:i w:val="0"/>
        </w:rPr>
        <w:t>Le stage a mobilisé la programmation orientée objet, les bases de données relationnelles et les notions de génie logiciel vues en première année : architecture en couches, séparation des responsabilités, tests. Il les a prolongées vers des usages concrets : sécurité des API par jetons, documentation OpenAPI et conteneurisation. [À CONFIRMER : correspondance exacte avec les modules du programme de FGL1].</w:t>
      </w:r>
    </w:p>
    <w:p>
      <w:pPr>
        <w:pStyle w:val="Heading2"/>
      </w:pPr>
      <w:r>
        <w:t>6.4 Bilan personnel</w:t>
      </w:r>
    </w:p>
    <w:p>
      <w:r>
        <w:rPr>
          <w:rFonts w:ascii="Times New Roman" w:hAnsi="Times New Roman" w:eastAsia="Times New Roman" w:cs="Times New Roman"/>
          <w:b w:val="0"/>
          <w:i w:val="0"/>
        </w:rPr>
        <w:t>Ce stage m'a permis de passer d'une modélisation à une API complète, documentée et conteneurisée. L'analyse du projet m'a aussi appris qu'une annotation ne suffit pas à garantir une règle : il faut la vérifier par des tests qui échouent lorsqu'elle est violée. [Paragraphe personnel à compléter par l'étudiant : enseignements tirés des échanges avec l'encadrante, difficultés vécues, perspectives.]</w:t>
      </w:r>
    </w:p>
    <w:p>
      <w:pPr>
        <w:pStyle w:val="Heading1"/>
      </w:pPr>
      <w:r>
        <w:t>7. Conclusion générale</w:t>
      </w:r>
    </w:p>
    <w:p>
      <w:r>
        <w:rPr>
          <w:rFonts w:ascii="Times New Roman" w:hAnsi="Times New Roman" w:eastAsia="Times New Roman" w:cs="Times New Roman"/>
          <w:b w:val="0"/>
          <w:i w:val="0"/>
        </w:rPr>
        <w:t>Le stage technicien effectué chez VERMEG du 1er au 31 juillet 2026 a abouti à une implémentation de mini-API REST de gestion d'assurance. Le dépôt contient un service Spring Boot qui expose 17 points d'accès pour les clients, les contrats, les sinistres et les utilisateurs. Ce service s'appuie sur PostgreSQL, sécurise l'accès par jetons JWT, applique dix règles métier côté serveur et publie sa documentation OpenAPI. Une interface Angular de 11 écrans consomme cette API, et l'ensemble est conteneurisé avec Docker Compose.</w:t>
      </w:r>
    </w:p>
    <w:p>
      <w:r>
        <w:rPr>
          <w:rFonts w:ascii="Times New Roman" w:hAnsi="Times New Roman" w:eastAsia="Times New Roman" w:cs="Times New Roman"/>
          <w:b w:val="0"/>
          <w:i w:val="0"/>
        </w:rPr>
        <w:t>Le bilan critique est tout aussi important. L'inscription publique avec choix du rôle, l'autorisation par méthode non activée, la règle de suppression abandonnée et la couverture de tests limitée sont les principaux points à corriger avant toute utilisation réelle. Le travail constitue une base technique que la suite du projet devra consolider.</w:t>
      </w:r>
    </w:p>
    <w:p>
      <w:r>
        <w:rPr>
          <w:rFonts w:ascii="Times New Roman" w:hAnsi="Times New Roman" w:eastAsia="Times New Roman" w:cs="Times New Roman"/>
          <w:b w:val="0"/>
          <w:i w:val="0"/>
        </w:rPr>
        <w:t>Le stage m'a permis de découvrir un environnement professionnel, de conduire une conception avec mon encadrante et d'acquérir des compétences concrètes en développement d'API.</w:t>
      </w:r>
    </w:p>
    <w:p>
      <w:r>
        <w:br w:type="page"/>
      </w:r>
    </w:p>
    <w:p>
      <w:pPr>
        <w:pStyle w:val="Heading1"/>
      </w:pPr>
      <w:r>
        <w:t>Références et webographie</w:t>
      </w:r>
    </w:p>
    <w:p>
      <w:pPr>
        <w:keepNext/>
      </w:pPr>
      <w:r>
        <w:rPr>
          <w:rFonts w:ascii="Times New Roman" w:hAnsi="Times New Roman" w:eastAsia="Times New Roman" w:cs="Times New Roman"/>
          <w:b/>
          <w:i w:val="0"/>
        </w:rPr>
        <w:t>Webographie</w:t>
      </w:r>
      <w:r>
        <w:rPr>
          <w:rFonts w:ascii="Times New Roman" w:hAnsi="Times New Roman" w:eastAsia="Times New Roman" w:cs="Times New Roman"/>
          <w:b w:val="0"/>
          <w:i w:val="0"/>
        </w:rPr>
        <w:t xml:space="preserve"> (sources consultées le 12 octobre 2026) :</w:t>
      </w:r>
    </w:p>
    <w:p>
      <w:pPr>
        <w:spacing w:after="60"/>
      </w:pPr>
      <w:r>
        <w:rPr>
          <w:rFonts w:ascii="Times New Roman" w:hAnsi="Times New Roman" w:eastAsia="Times New Roman" w:cs="Times New Roman"/>
          <w:b w:val="0"/>
          <w:i w:val="0"/>
        </w:rPr>
        <w:t>[1] Nordic Capital, « Nordic Capital-backed Regnology acquires VERMEG's RegTech division – AGILE », communiqué de presse, novembre 2024. https://www.nordiccapital.com/news-views/press-releases/nordic-capital-backed-regnology-acquires-vermeg-s-regtech-division-agile-to-solidify-position-as-a-global-market-leader/</w:t>
      </w:r>
    </w:p>
    <w:p>
      <w:pPr>
        <w:spacing w:after="60"/>
      </w:pPr>
      <w:r>
        <w:rPr>
          <w:rFonts w:ascii="Times New Roman" w:hAnsi="Times New Roman" w:eastAsia="Times New Roman" w:cs="Times New Roman"/>
          <w:b w:val="0"/>
          <w:i w:val="0"/>
        </w:rPr>
        <w:t>[2] Crustdata, « Vermeg for Banking &amp; Insurance Software – Headcount, Funding &amp; Hiring Trends ». https://profiles.crustdata.com/company/vermeg-for-banking-insurance-software</w:t>
      </w:r>
    </w:p>
    <w:p>
      <w:pPr>
        <w:spacing w:after="60"/>
      </w:pPr>
      <w:r>
        <w:rPr>
          <w:rFonts w:ascii="Times New Roman" w:hAnsi="Times New Roman" w:eastAsia="Times New Roman" w:cs="Times New Roman"/>
          <w:b w:val="0"/>
          <w:i w:val="0"/>
        </w:rPr>
        <w:t>[3] RocketReach, « VERMEG for Banking &amp; Insurance Software Information ». https://rocketreach.co/vermeg-for-banking-insurance-software-profile_b5c68ca2f42e0c9c</w:t>
      </w:r>
    </w:p>
    <w:p>
      <w:pPr>
        <w:spacing w:after="60"/>
      </w:pPr>
      <w:r>
        <w:rPr>
          <w:rFonts w:ascii="Times New Roman" w:hAnsi="Times New Roman" w:eastAsia="Times New Roman" w:cs="Times New Roman"/>
          <w:b w:val="0"/>
          <w:i w:val="0"/>
        </w:rPr>
        <w:t>[4] GitHub, dépôt « taheryhaia2/mini-api-assurance ». https://github.com/taheryhaia2/mini-api-assurance</w:t>
      </w:r>
    </w:p>
    <w:p>
      <w:r>
        <w:rPr>
          <w:rFonts w:ascii="Times New Roman" w:hAnsi="Times New Roman" w:eastAsia="Times New Roman" w:cs="Times New Roman"/>
          <w:b w:val="0"/>
          <w:i w:val="0"/>
        </w:rPr>
        <w:t>Les sources [1] à [3] sont des sources tierces, non officielles. [À COMPLÉTER : référence du site officiel de VERMEG, après consultation.] Le reste du rapport repose sur le code et l'historique du dépôt [4].</w:t>
      </w:r>
    </w:p>
    <w:p>
      <w:pPr>
        <w:pStyle w:val="Heading1"/>
      </w:pPr>
      <w:r>
        <w:t>Annexe A — Points d'accès de l'API</w:t>
      </w:r>
    </w:p>
    <w:p>
      <w:pPr>
        <w:pStyle w:val="Caption"/>
        <w:keepNext/>
        <w:jc w:val="left"/>
      </w:pPr>
      <w:bookmarkStart w:id="110" w:name="ref_tab_end"/>
      <w:r>
        <w:rPr>
          <w:rFonts w:ascii="Times New Roman" w:hAnsi="Times New Roman" w:eastAsia="Times New Roman" w:cs="Times New Roman"/>
          <w:b/>
          <w:i w:val="0"/>
          <w:sz w:val="20"/>
        </w:rPr>
        <w:t xml:space="preserve">Tableau </w:t>
      </w:r>
      <w:r>
        <w:rPr>
          <w:sz w:val="20"/>
        </w:rPr>
        <w:fldChar w:fldCharType="begin"/>
      </w:r>
      <w:r>
        <w:instrText xml:space="preserve"> SEQ Tableau \* ARABIC </w:instrText>
      </w:r>
      <w:r>
        <w:rPr>
          <w:sz w:val="20"/>
        </w:rPr>
        <w:fldChar w:fldCharType="separate"/>
      </w:r>
      <w:r>
        <w:rPr>
          <w:rFonts w:ascii="Times New Roman" w:hAnsi="Times New Roman" w:eastAsia="Times New Roman" w:cs="Times New Roman"/>
          <w:b/>
          <w:i w:val="0"/>
          <w:sz w:val="20"/>
        </w:rPr>
        <w:t>8</w:t>
      </w:r>
      <w:r>
        <w:rPr>
          <w:sz w:val="20"/>
        </w:rPr>
        <w:fldChar w:fldCharType="end"/>
      </w:r>
      <w:bookmarkEnd w:id="110"/>
      <w:r>
        <w:rPr>
          <w:rFonts w:ascii="Times New Roman" w:hAnsi="Times New Roman" w:eastAsia="Times New Roman" w:cs="Times New Roman"/>
          <w:b w:val="0"/>
          <w:i w:val="0"/>
          <w:sz w:val="20"/>
        </w:rPr>
        <w:t xml:space="preserve"> — Points d'accès de l'API, accès requis et code de succès</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1247"/>
            <w:shd w:val="clear" w:color="auto" w:fill="D9D9D9"/>
          </w:tcPr>
          <w:p>
            <w:pPr>
              <w:spacing w:after="0" w:line="240" w:lineRule="auto"/>
              <w:jc w:val="left"/>
            </w:pPr>
            <w:r>
              <w:rPr>
                <w:rFonts w:ascii="Times New Roman" w:hAnsi="Times New Roman" w:eastAsia="Times New Roman" w:cs="Times New Roman"/>
                <w:b/>
                <w:i w:val="0"/>
                <w:sz w:val="19"/>
              </w:rPr>
              <w:t>Méthode</w:t>
            </w:r>
          </w:p>
        </w:tc>
        <w:tc>
          <w:tcPr>
            <w:tcW w:type="dxa" w:w="3402"/>
            <w:shd w:val="clear" w:color="auto" w:fill="D9D9D9"/>
          </w:tcPr>
          <w:p>
            <w:pPr>
              <w:spacing w:after="0" w:line="240" w:lineRule="auto"/>
              <w:jc w:val="left"/>
            </w:pPr>
            <w:r>
              <w:rPr>
                <w:rFonts w:ascii="Times New Roman" w:hAnsi="Times New Roman" w:eastAsia="Times New Roman" w:cs="Times New Roman"/>
                <w:b/>
                <w:i w:val="0"/>
                <w:sz w:val="19"/>
              </w:rPr>
              <w:t>Chemin</w:t>
            </w:r>
          </w:p>
        </w:tc>
        <w:tc>
          <w:tcPr>
            <w:tcW w:type="dxa" w:w="3175"/>
            <w:shd w:val="clear" w:color="auto" w:fill="D9D9D9"/>
          </w:tcPr>
          <w:p>
            <w:pPr>
              <w:spacing w:after="0" w:line="240" w:lineRule="auto"/>
              <w:jc w:val="left"/>
            </w:pPr>
            <w:r>
              <w:rPr>
                <w:rFonts w:ascii="Times New Roman" w:hAnsi="Times New Roman" w:eastAsia="Times New Roman" w:cs="Times New Roman"/>
                <w:b/>
                <w:i w:val="0"/>
                <w:sz w:val="19"/>
              </w:rPr>
              <w:t>Accès requis</w:t>
            </w:r>
          </w:p>
        </w:tc>
        <w:tc>
          <w:tcPr>
            <w:tcW w:type="dxa" w:w="964"/>
            <w:shd w:val="clear" w:color="auto" w:fill="D9D9D9"/>
          </w:tcPr>
          <w:p>
            <w:pPr>
              <w:spacing w:after="0" w:line="240" w:lineRule="auto"/>
              <w:jc w:val="left"/>
            </w:pPr>
            <w:r>
              <w:rPr>
                <w:rFonts w:ascii="Times New Roman" w:hAnsi="Times New Roman" w:eastAsia="Times New Roman" w:cs="Times New Roman"/>
                <w:b/>
                <w:i w:val="0"/>
                <w:sz w:val="19"/>
              </w:rPr>
              <w:t>Code</w:t>
            </w:r>
          </w:p>
        </w:tc>
      </w:tr>
      <w:tr>
        <w:tc>
          <w:tcPr>
            <w:tcW w:type="dxa" w:w="1247"/>
          </w:tcPr>
          <w:p>
            <w:pPr>
              <w:spacing w:after="0" w:line="240" w:lineRule="auto"/>
              <w:jc w:val="left"/>
            </w:pPr>
            <w:r>
              <w:rPr>
                <w:rFonts w:ascii="Times New Roman" w:hAnsi="Times New Roman" w:eastAsia="Times New Roman" w:cs="Times New Roman"/>
                <w:b w:val="0"/>
                <w:i w:val="0"/>
                <w:sz w:val="19"/>
              </w:rPr>
              <w:t>POST</w:t>
            </w:r>
          </w:p>
        </w:tc>
        <w:tc>
          <w:tcPr>
            <w:tcW w:type="dxa" w:w="3402"/>
          </w:tcPr>
          <w:p>
            <w:pPr>
              <w:spacing w:after="0" w:line="240" w:lineRule="auto"/>
              <w:jc w:val="left"/>
            </w:pPr>
            <w:r>
              <w:rPr>
                <w:rFonts w:ascii="Times New Roman" w:hAnsi="Times New Roman" w:eastAsia="Times New Roman" w:cs="Times New Roman"/>
                <w:b w:val="0"/>
                <w:i w:val="0"/>
                <w:sz w:val="19"/>
              </w:rPr>
              <w:t>/api/auth/register</w:t>
            </w:r>
          </w:p>
        </w:tc>
        <w:tc>
          <w:tcPr>
            <w:tcW w:type="dxa" w:w="3175"/>
          </w:tcPr>
          <w:p>
            <w:pPr>
              <w:spacing w:after="0" w:line="240" w:lineRule="auto"/>
              <w:jc w:val="left"/>
            </w:pPr>
            <w:r>
              <w:rPr>
                <w:rFonts w:ascii="Times New Roman" w:hAnsi="Times New Roman" w:eastAsia="Times New Roman" w:cs="Times New Roman"/>
                <w:b w:val="0"/>
                <w:i w:val="0"/>
                <w:sz w:val="19"/>
              </w:rPr>
              <w:t>Public (voir limite 5.2)</w:t>
            </w:r>
          </w:p>
        </w:tc>
        <w:tc>
          <w:tcPr>
            <w:tcW w:type="dxa" w:w="964"/>
          </w:tcPr>
          <w:p>
            <w:pPr>
              <w:spacing w:after="0" w:line="240" w:lineRule="auto"/>
              <w:jc w:val="left"/>
            </w:pPr>
            <w:r>
              <w:rPr>
                <w:rFonts w:ascii="Times New Roman" w:hAnsi="Times New Roman" w:eastAsia="Times New Roman" w:cs="Times New Roman"/>
                <w:b w:val="0"/>
                <w:i w:val="0"/>
                <w:sz w:val="19"/>
              </w:rPr>
              <w:t>201</w:t>
            </w:r>
          </w:p>
        </w:tc>
      </w:tr>
      <w:tr>
        <w:tc>
          <w:tcPr>
            <w:tcW w:type="dxa" w:w="1247"/>
          </w:tcPr>
          <w:p>
            <w:pPr>
              <w:spacing w:after="0" w:line="240" w:lineRule="auto"/>
              <w:jc w:val="left"/>
            </w:pPr>
            <w:r>
              <w:rPr>
                <w:rFonts w:ascii="Times New Roman" w:hAnsi="Times New Roman" w:eastAsia="Times New Roman" w:cs="Times New Roman"/>
                <w:b w:val="0"/>
                <w:i w:val="0"/>
                <w:sz w:val="19"/>
              </w:rPr>
              <w:t>POST</w:t>
            </w:r>
          </w:p>
        </w:tc>
        <w:tc>
          <w:tcPr>
            <w:tcW w:type="dxa" w:w="3402"/>
          </w:tcPr>
          <w:p>
            <w:pPr>
              <w:spacing w:after="0" w:line="240" w:lineRule="auto"/>
              <w:jc w:val="left"/>
            </w:pPr>
            <w:r>
              <w:rPr>
                <w:rFonts w:ascii="Times New Roman" w:hAnsi="Times New Roman" w:eastAsia="Times New Roman" w:cs="Times New Roman"/>
                <w:b w:val="0"/>
                <w:i w:val="0"/>
                <w:sz w:val="19"/>
              </w:rPr>
              <w:t>/api/auth/login</w:t>
            </w:r>
          </w:p>
        </w:tc>
        <w:tc>
          <w:tcPr>
            <w:tcW w:type="dxa" w:w="3175"/>
          </w:tcPr>
          <w:p>
            <w:pPr>
              <w:spacing w:after="0" w:line="240" w:lineRule="auto"/>
              <w:jc w:val="left"/>
            </w:pPr>
            <w:r>
              <w:rPr>
                <w:rFonts w:ascii="Times New Roman" w:hAnsi="Times New Roman" w:eastAsia="Times New Roman" w:cs="Times New Roman"/>
                <w:b w:val="0"/>
                <w:i w:val="0"/>
                <w:sz w:val="19"/>
              </w:rPr>
              <w:t>Public</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POST</w:t>
            </w:r>
          </w:p>
        </w:tc>
        <w:tc>
          <w:tcPr>
            <w:tcW w:type="dxa" w:w="3402"/>
          </w:tcPr>
          <w:p>
            <w:pPr>
              <w:spacing w:after="0" w:line="240" w:lineRule="auto"/>
              <w:jc w:val="left"/>
            </w:pPr>
            <w:r>
              <w:rPr>
                <w:rFonts w:ascii="Times New Roman" w:hAnsi="Times New Roman" w:eastAsia="Times New Roman" w:cs="Times New Roman"/>
                <w:b w:val="0"/>
                <w:i w:val="0"/>
                <w:sz w:val="19"/>
              </w:rPr>
              <w:t>/api/clients</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201</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/api/clients</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/api/clients/{id}</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PUT</w:t>
            </w:r>
          </w:p>
        </w:tc>
        <w:tc>
          <w:tcPr>
            <w:tcW w:type="dxa" w:w="3402"/>
          </w:tcPr>
          <w:p>
            <w:pPr>
              <w:spacing w:after="0" w:line="240" w:lineRule="auto"/>
              <w:jc w:val="left"/>
            </w:pPr>
            <w:r>
              <w:rPr>
                <w:rFonts w:ascii="Times New Roman" w:hAnsi="Times New Roman" w:eastAsia="Times New Roman" w:cs="Times New Roman"/>
                <w:b w:val="0"/>
                <w:i w:val="0"/>
                <w:sz w:val="19"/>
              </w:rPr>
              <w:t>/api/clients/{id}</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DELETE</w:t>
            </w:r>
          </w:p>
        </w:tc>
        <w:tc>
          <w:tcPr>
            <w:tcW w:type="dxa" w:w="3402"/>
          </w:tcPr>
          <w:p>
            <w:pPr>
              <w:spacing w:after="0" w:line="240" w:lineRule="auto"/>
              <w:jc w:val="left"/>
            </w:pPr>
            <w:r>
              <w:rPr>
                <w:rFonts w:ascii="Times New Roman" w:hAnsi="Times New Roman" w:eastAsia="Times New Roman" w:cs="Times New Roman"/>
                <w:b w:val="0"/>
                <w:i w:val="0"/>
                <w:sz w:val="19"/>
              </w:rPr>
              <w:t>/api/clients/{id}</w:t>
            </w:r>
          </w:p>
        </w:tc>
        <w:tc>
          <w:tcPr>
            <w:tcW w:type="dxa" w:w="3175"/>
          </w:tcPr>
          <w:p>
            <w:pPr>
              <w:spacing w:after="0" w:line="240" w:lineRule="auto"/>
              <w:jc w:val="left"/>
            </w:pPr>
            <w:r>
              <w:rPr>
                <w:rFonts w:ascii="Times New Roman" w:hAnsi="Times New Roman" w:eastAsia="Times New Roman" w:cs="Times New Roman"/>
                <w:b w:val="0"/>
                <w:i w:val="0"/>
                <w:sz w:val="19"/>
              </w:rPr>
              <w:t>ADMIN, AGENT (@PreAuthorize inopérant)</w:t>
            </w:r>
          </w:p>
        </w:tc>
        <w:tc>
          <w:tcPr>
            <w:tcW w:type="dxa" w:w="964"/>
          </w:tcPr>
          <w:p>
            <w:pPr>
              <w:spacing w:after="0" w:line="240" w:lineRule="auto"/>
              <w:jc w:val="left"/>
            </w:pPr>
            <w:r>
              <w:rPr>
                <w:rFonts w:ascii="Times New Roman" w:hAnsi="Times New Roman" w:eastAsia="Times New Roman" w:cs="Times New Roman"/>
                <w:b w:val="0"/>
                <w:i w:val="0"/>
                <w:sz w:val="19"/>
              </w:rPr>
              <w:t>204</w:t>
            </w:r>
          </w:p>
        </w:tc>
      </w:tr>
      <w:tr>
        <w:tc>
          <w:tcPr>
            <w:tcW w:type="dxa" w:w="1247"/>
          </w:tcPr>
          <w:p>
            <w:pPr>
              <w:spacing w:after="0" w:line="240" w:lineRule="auto"/>
              <w:jc w:val="left"/>
            </w:pPr>
            <w:r>
              <w:rPr>
                <w:rFonts w:ascii="Times New Roman" w:hAnsi="Times New Roman" w:eastAsia="Times New Roman" w:cs="Times New Roman"/>
                <w:b w:val="0"/>
                <w:i w:val="0"/>
                <w:sz w:val="19"/>
              </w:rPr>
              <w:t>POST</w:t>
            </w:r>
          </w:p>
        </w:tc>
        <w:tc>
          <w:tcPr>
            <w:tcW w:type="dxa" w:w="3402"/>
          </w:tcPr>
          <w:p>
            <w:pPr>
              <w:spacing w:after="0" w:line="240" w:lineRule="auto"/>
              <w:jc w:val="left"/>
            </w:pPr>
            <w:r>
              <w:rPr>
                <w:rFonts w:ascii="Times New Roman" w:hAnsi="Times New Roman" w:eastAsia="Times New Roman" w:cs="Times New Roman"/>
                <w:b w:val="0"/>
                <w:i w:val="0"/>
                <w:sz w:val="19"/>
              </w:rPr>
              <w:t>/api/contracts</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201</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/api/contracts</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/api/contracts/{id}</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PUT</w:t>
            </w:r>
          </w:p>
        </w:tc>
        <w:tc>
          <w:tcPr>
            <w:tcW w:type="dxa" w:w="3402"/>
          </w:tcPr>
          <w:p>
            <w:pPr>
              <w:spacing w:after="0" w:line="240" w:lineRule="auto"/>
              <w:jc w:val="left"/>
            </w:pPr>
            <w:r>
              <w:rPr>
                <w:rFonts w:ascii="Times New Roman" w:hAnsi="Times New Roman" w:eastAsia="Times New Roman" w:cs="Times New Roman"/>
                <w:b w:val="0"/>
                <w:i w:val="0"/>
                <w:sz w:val="19"/>
              </w:rPr>
              <w:t>/api/contracts/{id}</w:t>
            </w:r>
          </w:p>
        </w:tc>
        <w:tc>
          <w:tcPr>
            <w:tcW w:type="dxa" w:w="3175"/>
          </w:tcPr>
          <w:p>
            <w:pPr>
              <w:spacing w:after="0" w:line="240" w:lineRule="auto"/>
              <w:jc w:val="left"/>
            </w:pPr>
            <w:r>
              <w:rPr>
                <w:rFonts w:ascii="Times New Roman" w:hAnsi="Times New Roman" w:eastAsia="Times New Roman" w:cs="Times New Roman"/>
                <w:b w:val="0"/>
                <w:i w:val="0"/>
                <w:sz w:val="19"/>
              </w:rPr>
              <w:t>ADMIN, AGENT (règle de chemin ; annotation ADMIN inopérante)</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/api/contracts/client/{clientId}</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POST</w:t>
            </w:r>
          </w:p>
        </w:tc>
        <w:tc>
          <w:tcPr>
            <w:tcW w:type="dxa" w:w="3402"/>
          </w:tcPr>
          <w:p>
            <w:pPr>
              <w:spacing w:after="0" w:line="240" w:lineRule="auto"/>
              <w:jc w:val="left"/>
            </w:pPr>
            <w:r>
              <w:rPr>
                <w:rFonts w:ascii="Times New Roman" w:hAnsi="Times New Roman" w:eastAsia="Times New Roman" w:cs="Times New Roman"/>
                <w:b w:val="0"/>
                <w:i w:val="0"/>
                <w:sz w:val="19"/>
              </w:rPr>
              <w:t>/api/contracts/{contractId}/claims</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201</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/api/contracts/{contractId}/claims</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/api/claims</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/api/claims/{id}</w:t>
            </w:r>
          </w:p>
        </w:tc>
        <w:tc>
          <w:tcPr>
            <w:tcW w:type="dxa" w:w="3175"/>
          </w:tcPr>
          <w:p>
            <w:pPr>
              <w:spacing w:after="0" w:line="240" w:lineRule="auto"/>
              <w:jc w:val="left"/>
            </w:pPr>
            <w:r>
              <w:rPr>
                <w:rFonts w:ascii="Times New Roman" w:hAnsi="Times New Roman" w:eastAsia="Times New Roman" w:cs="Times New Roman"/>
                <w:b w:val="0"/>
                <w:i w:val="0"/>
                <w:sz w:val="19"/>
              </w:rPr>
              <w:t>ADMIN, AGENT</w:t>
            </w:r>
          </w:p>
        </w:tc>
        <w:tc>
          <w:tcPr>
            <w:tcW w:type="dxa" w:w="964"/>
          </w:tcPr>
          <w:p>
            <w:pPr>
              <w:spacing w:after="0" w:line="240" w:lineRule="auto"/>
              <w:jc w:val="left"/>
            </w:pPr>
            <w:r>
              <w:rPr>
                <w:rFonts w:ascii="Times New Roman" w:hAnsi="Times New Roman" w:eastAsia="Times New Roman" w:cs="Times New Roman"/>
                <w:b w:val="0"/>
                <w:i w:val="0"/>
                <w:sz w:val="19"/>
              </w:rPr>
              <w:t>200</w:t>
            </w:r>
          </w:p>
        </w:tc>
      </w:tr>
      <w:tr>
        <w:tc>
          <w:tcPr>
            <w:tcW w:type="dxa" w:w="1247"/>
          </w:tcPr>
          <w:p>
            <w:pPr>
              <w:spacing w:after="0" w:line="240" w:lineRule="auto"/>
              <w:jc w:val="left"/>
            </w:pPr>
            <w:r>
              <w:rPr>
                <w:rFonts w:ascii="Times New Roman" w:hAnsi="Times New Roman" w:eastAsia="Times New Roman" w:cs="Times New Roman"/>
                <w:b w:val="0"/>
                <w:i w:val="0"/>
                <w:sz w:val="19"/>
              </w:rPr>
              <w:t>GET</w:t>
            </w:r>
          </w:p>
        </w:tc>
        <w:tc>
          <w:tcPr>
            <w:tcW w:type="dxa" w:w="3402"/>
          </w:tcPr>
          <w:p>
            <w:pPr>
              <w:spacing w:after="0" w:line="240" w:lineRule="auto"/>
              <w:jc w:val="left"/>
            </w:pPr>
            <w:r>
              <w:rPr>
                <w:rFonts w:ascii="Times New Roman" w:hAnsi="Times New Roman" w:eastAsia="Times New Roman" w:cs="Times New Roman"/>
                <w:b w:val="0"/>
                <w:i w:val="0"/>
                <w:sz w:val="19"/>
              </w:rPr>
              <w:t>/api/users</w:t>
            </w:r>
          </w:p>
        </w:tc>
        <w:tc>
          <w:tcPr>
            <w:tcW w:type="dxa" w:w="3175"/>
          </w:tcPr>
          <w:p>
            <w:pPr>
              <w:spacing w:after="0" w:line="240" w:lineRule="auto"/>
              <w:jc w:val="left"/>
            </w:pPr>
            <w:r>
              <w:rPr>
                <w:rFonts w:ascii="Times New Roman" w:hAnsi="Times New Roman" w:eastAsia="Times New Roman" w:cs="Times New Roman"/>
                <w:b w:val="0"/>
                <w:i w:val="0"/>
                <w:sz w:val="19"/>
              </w:rPr>
              <w:t>ADMIN</w:t>
            </w:r>
          </w:p>
        </w:tc>
        <w:tc>
          <w:tcPr>
            <w:tcW w:type="dxa" w:w="964"/>
          </w:tcPr>
          <w:p>
            <w:pPr>
              <w:spacing w:after="0" w:line="240" w:lineRule="auto"/>
              <w:jc w:val="left"/>
            </w:pPr>
            <w:r>
              <w:rPr>
                <w:rFonts w:ascii="Times New Roman" w:hAnsi="Times New Roman" w:eastAsia="Times New Roman" w:cs="Times New Roman"/>
                <w:b w:val="0"/>
                <w:i w:val="0"/>
                <w:sz w:val="19"/>
              </w:rPr>
              <w:t>200</w:t>
            </w:r>
          </w:p>
        </w:tc>
      </w:tr>
    </w:tbl>
    <w:p>
      <w:pPr>
        <w:spacing w:after="40"/>
      </w:pPr>
    </w:p>
    <w:p>
      <w:pPr>
        <w:pStyle w:val="Heading1"/>
      </w:pPr>
      <w:r>
        <w:t>Annexe B — Démarrage de l'application</w:t>
      </w:r>
    </w:p>
    <w:p>
      <w:pPr>
        <w:keepNext/>
      </w:pPr>
      <w:r>
        <w:rPr>
          <w:rFonts w:ascii="Times New Roman" w:hAnsi="Times New Roman" w:eastAsia="Times New Roman" w:cs="Times New Roman"/>
          <w:b w:val="0"/>
          <w:i w:val="0"/>
        </w:rPr>
        <w:t>Les commandes ci-dessous sont celles décrites dans le dépôt. Elles n'ont pas été exécutées lors de la préparation de ce rapport.</w:t>
      </w:r>
    </w:p>
    <w:p>
      <w:pPr>
        <w:pStyle w:val="ListBullet"/>
        <w:spacing w:after="40"/>
      </w:pPr>
      <w:r>
        <w:rPr>
          <w:rFonts w:ascii="Times New Roman" w:hAnsi="Times New Roman" w:eastAsia="Times New Roman" w:cs="Times New Roman"/>
          <w:b/>
          <w:i w:val="0"/>
        </w:rPr>
        <w:t>Base de données :</w:t>
      </w:r>
      <w:r>
        <w:rPr>
          <w:rFonts w:ascii="Times New Roman" w:hAnsi="Times New Roman" w:eastAsia="Times New Roman" w:cs="Times New Roman"/>
          <w:b w:val="0"/>
          <w:i w:val="0"/>
        </w:rPr>
        <w:t xml:space="preserve"> créer une base PostgreSQL nommée assurance_db. Les identifiants se règlent par les variables SPRING_DATASOURCE_URL, SPRING_DATASOURCE_USERNAME et SPRING_DATASOURCE_PASSWORD.</w:t>
      </w:r>
    </w:p>
    <w:p>
      <w:pPr>
        <w:pStyle w:val="ListBullet"/>
        <w:spacing w:after="40"/>
      </w:pPr>
      <w:r>
        <w:rPr>
          <w:rFonts w:ascii="Times New Roman" w:hAnsi="Times New Roman" w:eastAsia="Times New Roman" w:cs="Times New Roman"/>
          <w:b/>
          <w:i w:val="0"/>
        </w:rPr>
        <w:t>Lancement local :</w:t>
      </w:r>
      <w:r>
        <w:rPr>
          <w:rFonts w:ascii="Times New Roman" w:hAnsi="Times New Roman" w:eastAsia="Times New Roman" w:cs="Times New Roman"/>
          <w:b w:val="0"/>
          <w:i w:val="0"/>
        </w:rPr>
        <w:t xml:space="preserve"> ./mvnw spring-boot:run, puis ouvrir http://localhost:8080/swagger-ui/index.html.</w:t>
      </w:r>
    </w:p>
    <w:p>
      <w:pPr>
        <w:pStyle w:val="ListBullet"/>
        <w:spacing w:after="40"/>
      </w:pPr>
      <w:r>
        <w:rPr>
          <w:rFonts w:ascii="Times New Roman" w:hAnsi="Times New Roman" w:eastAsia="Times New Roman" w:cs="Times New Roman"/>
          <w:b/>
          <w:i w:val="0"/>
        </w:rPr>
        <w:t>Lancement conteneurisé :</w:t>
      </w:r>
      <w:r>
        <w:rPr>
          <w:rFonts w:ascii="Times New Roman" w:hAnsi="Times New Roman" w:eastAsia="Times New Roman" w:cs="Times New Roman"/>
          <w:b w:val="0"/>
          <w:i w:val="0"/>
        </w:rPr>
        <w:t xml:space="preserve"> docker compose up --build.</w:t>
      </w:r>
    </w:p>
    <w:p>
      <w:pPr>
        <w:pStyle w:val="ListBullet"/>
        <w:spacing w:after="40"/>
      </w:pPr>
      <w:r>
        <w:rPr>
          <w:rFonts w:ascii="Times New Roman" w:hAnsi="Times New Roman" w:eastAsia="Times New Roman" w:cs="Times New Roman"/>
          <w:b/>
          <w:i w:val="0"/>
        </w:rPr>
        <w:t>Frontend :</w:t>
      </w:r>
      <w:r>
        <w:rPr>
          <w:rFonts w:ascii="Times New Roman" w:hAnsi="Times New Roman" w:eastAsia="Times New Roman" w:cs="Times New Roman"/>
          <w:b w:val="0"/>
          <w:i w:val="0"/>
        </w:rPr>
        <w:t xml:space="preserve"> dans le dossier frontend, npm install puis npm start ; l'interface est alors servie sur le port 4200.</w:t>
      </w:r>
    </w:p>
    <w:p>
      <w:pPr>
        <w:pStyle w:val="ListBullet"/>
        <w:spacing w:after="40"/>
      </w:pPr>
      <w:r>
        <w:rPr>
          <w:rFonts w:ascii="Times New Roman" w:hAnsi="Times New Roman" w:eastAsia="Times New Roman" w:cs="Times New Roman"/>
          <w:b/>
          <w:i w:val="0"/>
        </w:rPr>
        <w:t>Comptes de démonstration :</w:t>
      </w:r>
      <w:r>
        <w:rPr>
          <w:rFonts w:ascii="Times New Roman" w:hAnsi="Times New Roman" w:eastAsia="Times New Roman" w:cs="Times New Roman"/>
          <w:b w:val="0"/>
          <w:i w:val="0"/>
        </w:rPr>
        <w:t xml:space="preserve"> créés au démarrage de l'API. Leurs identifiants figurent dans le README du dépôt ; ils ne sont pas reproduits ici.</w:t>
      </w:r>
    </w:p>
    <w:sectPr w:rsidR="00FC693F" w:rsidRPr="0006063C" w:rsidSect="00034616">
      <w:headerReference w:type="default" r:id="rId9"/>
      <w:footerReference w:type="default" r:id="rId10"/>
      <w:pgSz w:w="11906" w:h="16838"/>
      <w:pgMar w:top="1417" w:right="1417" w:bottom="1417"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r>
    <w:r>
      <w:instrText xml:space="preserve"> PAGE </w:instrText>
    </w:r>
    <w:r>
      <w:rPr>
        <w:sz w:val="20"/>
      </w:rPr>
      <w:fldChar w:fldCharType="separate"/>
    </w:r>
    <w:r>
      <w:rPr>
        <w:rFonts w:ascii="Times New Roman" w:hAnsi="Times New Roman" w:eastAsia="Times New Roman" w:cs="Times New Roman"/>
        <w:b w:val="0"/>
        <w:i w:val="0"/>
        <w:sz w:val="20"/>
      </w:rPr>
      <w:t>1</w:t>
    </w:r>
    <w:r>
      <w:rPr>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Pr>
    <w:r>
      <w:rPr>
        <w:rFonts w:ascii="Times New Roman" w:hAnsi="Times New Roman" w:eastAsia="Times New Roman" w:cs="Times New Roman"/>
        <w:b w:val="0"/>
        <w:i w:val="0"/>
        <w:sz w:val="18"/>
      </w:rPr>
      <w:t>Mini-API Assurance — VERMEG</w:t>
      <w:tab/>
      <w:t>Taher Yahia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76"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