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Regional Sales Report</w:t>
      </w:r>
    </w:p>
    <w:p>
      <w:pPr>
        <w:pStyle w:val="Heading2"/>
      </w:pPr>
      <w:r>
        <w:t>Executive Summary</w:t>
      </w:r>
    </w:p>
    <w:p>
      <w:r>
        <w:t>Revenue grew 14% quarter-over-quarter, driven primarily by strong performance in the West region.</w:t>
      </w:r>
    </w:p>
    <w:p>
      <w:pPr>
        <w:pStyle w:val="Heading2"/>
      </w:pPr>
      <w:r>
        <w:t>Regional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$2.1M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$1.8M</w:t>
            </w:r>
          </w:p>
        </w:tc>
        <w:tc>
          <w:tcPr>
            <w:tcW w:type="dxa" w:w="2880"/>
          </w:tcPr>
          <w:p>
            <w:r>
              <w:t>+9%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$1.2M</w:t>
            </w:r>
          </w:p>
        </w:tc>
        <w:tc>
          <w:tcPr>
            <w:tcW w:type="dxa" w:w="2880"/>
          </w:tcPr>
          <w:p>
            <w:r>
              <w:t>+4%</w:t>
            </w:r>
          </w:p>
        </w:tc>
      </w:tr>
    </w:tbl>
    <w:p>
      <w:pPr>
        <w:pStyle w:val="Heading2"/>
      </w:pPr>
      <w:r>
        <w:t>Key Takeaways</w:t>
      </w:r>
    </w:p>
    <w:p>
      <w:pPr>
        <w:pStyle w:val="ListBullet"/>
      </w:pPr>
      <w:r>
        <w:t>Enterprise deals closed 22% faster than Q2</w:t>
      </w:r>
    </w:p>
    <w:p>
      <w:pPr>
        <w:pStyle w:val="ListBullet"/>
      </w:pPr>
      <w:r>
        <w:t>Churn held steady at 3.1%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