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40"/>
        <w:jc w:val="center"/>
      </w:pPr>
      <w:r>
        <w:rPr>
          <w:rFonts w:ascii="Arial" w:cs="Arial" w:eastAsia="Arial" w:hAnsi="Arial"/>
          <w:b/>
          <w:bCs/>
          <w:color w:val="1A3A6B"/>
          <w:sz w:val="96"/>
          <w:szCs w:val="96"/>
        </w:rPr>
        <w:t xml:space="preserve">CISM</w:t>
      </w:r>
    </w:p>
    <w:p>
      <w:pPr>
        <w:spacing w:before="0" w:after="80"/>
        <w:jc w:val="center"/>
      </w:pPr>
      <w:r>
        <w:rPr>
          <w:rFonts w:ascii="Arial" w:cs="Arial" w:eastAsia="Arial" w:hAnsi="Arial"/>
          <w:b w:val="false"/>
          <w:bCs w:val="false"/>
          <w:color w:val="2563EB"/>
          <w:sz w:val="44"/>
          <w:szCs w:val="44"/>
        </w:rPr>
        <w:t xml:space="preserve">Advanced Study Guide</w:t>
      </w:r>
    </w:p>
    <w:p>
      <w:pPr>
        <w:spacing w:before="0" w:after="40"/>
        <w:jc w:val="center"/>
      </w:pPr>
      <w:r>
        <w:rPr>
          <w:rFonts w:ascii="Arial" w:cs="Arial" w:eastAsia="Arial" w:hAnsi="Arial"/>
          <w:color w:val="374151"/>
          <w:sz w:val="24"/>
          <w:szCs w:val="24"/>
        </w:rPr>
        <w:t xml:space="preserve">Certified Information Security Manager</w:t>
      </w:r>
    </w:p>
    <w:p>
      <w:pPr>
        <w:spacing w:before="0" w:after="400"/>
        <w:jc w:val="center"/>
      </w:pPr>
      <w:r>
        <w:rPr>
          <w:rFonts w:ascii="Arial" w:cs="Arial" w:eastAsia="Arial" w:hAnsi="Arial"/>
          <w:i/>
          <w:iCs/>
          <w:color w:val="6B7280"/>
          <w:sz w:val="22"/>
          <w:szCs w:val="22"/>
        </w:rPr>
        <w:t xml:space="preserve">Focused on the Hardest Concepts, Common Traps &amp; Exam Distinctions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tblGrid>
      <w:tr>
        <w:tc>
          <w:tcPr>
            <w:tcW w:type="dxa" w:w="1500"/>
            <w:tcBorders>
              <w:top w:val="single" w:color="D1D5DB" w:sz="1"/>
              <w:left w:val="single" w:color="D1D5DB" w:sz="1"/>
              <w:bottom w:val="single" w:color="D1D5DB" w:sz="1"/>
              <w:right w:val="single" w:color="D1D5DB" w:sz="1"/>
            </w:tcBorders>
            <w:shd w:fill="F0F4FF" w:val="clear"/>
            <w:tcMar>
              <w:top w:type="dxa" w:w="80"/>
              <w:left w:type="dxa" w:w="80"/>
              <w:bottom w:type="dxa" w:w="80"/>
              <w:right w:type="dxa" w:w="80"/>
            </w:tcMar>
          </w:tcPr>
          <w:p>
            <w:pPr>
              <w:jc w:val="center"/>
            </w:pPr>
            <w:r>
              <w:rPr>
                <w:rFonts w:ascii="Arial" w:cs="Arial" w:eastAsia="Arial" w:hAnsi="Arial"/>
                <w:b/>
                <w:bCs/>
                <w:color w:val="1A3A6B"/>
                <w:sz w:val="18"/>
                <w:szCs w:val="18"/>
              </w:rPr>
              <w:t xml:space="preserve">Domain 1</w:t>
            </w:r>
          </w:p>
          <w:p>
            <w:pPr>
              <w:jc w:val="center"/>
            </w:pPr>
            <w:r>
              <w:rPr>
                <w:rFonts w:ascii="Arial" w:cs="Arial" w:eastAsia="Arial" w:hAnsi="Arial"/>
                <w:color w:val="374151"/>
                <w:sz w:val="16"/>
                <w:szCs w:val="16"/>
              </w:rPr>
              <w:t xml:space="preserve">Governance</w:t>
            </w:r>
          </w:p>
          <w:p>
            <w:pPr>
              <w:jc w:val="center"/>
            </w:pPr>
            <w:r>
              <w:rPr>
                <w:rFonts w:ascii="Arial" w:cs="Arial" w:eastAsia="Arial" w:hAnsi="Arial"/>
                <w:b/>
                <w:bCs/>
                <w:color w:val="1A3A6B"/>
                <w:sz w:val="20"/>
                <w:szCs w:val="20"/>
              </w:rPr>
              <w:t xml:space="preserve">17%</w:t>
            </w:r>
          </w:p>
        </w:tc>
        <w:tc>
          <w:tcPr>
            <w:tcW w:type="dxa" w:w="1500"/>
            <w:tcBorders>
              <w:top w:val="single" w:color="D1D5DB" w:sz="1"/>
              <w:left w:val="single" w:color="D1D5DB" w:sz="1"/>
              <w:bottom w:val="single" w:color="D1D5DB" w:sz="1"/>
              <w:right w:val="single" w:color="D1D5DB" w:sz="1"/>
            </w:tcBorders>
            <w:shd w:fill="F0F4FF" w:val="clear"/>
            <w:tcMar>
              <w:top w:type="dxa" w:w="80"/>
              <w:left w:type="dxa" w:w="80"/>
              <w:bottom w:type="dxa" w:w="80"/>
              <w:right w:type="dxa" w:w="80"/>
            </w:tcMar>
          </w:tcPr>
          <w:p>
            <w:pPr>
              <w:jc w:val="center"/>
            </w:pPr>
            <w:r>
              <w:rPr>
                <w:rFonts w:ascii="Arial" w:cs="Arial" w:eastAsia="Arial" w:hAnsi="Arial"/>
                <w:b/>
                <w:bCs/>
                <w:color w:val="2563EB"/>
                <w:sz w:val="18"/>
                <w:szCs w:val="18"/>
              </w:rPr>
              <w:t xml:space="preserve">Domain 2</w:t>
            </w:r>
          </w:p>
          <w:p>
            <w:pPr>
              <w:jc w:val="center"/>
            </w:pPr>
            <w:r>
              <w:rPr>
                <w:rFonts w:ascii="Arial" w:cs="Arial" w:eastAsia="Arial" w:hAnsi="Arial"/>
                <w:color w:val="374151"/>
                <w:sz w:val="16"/>
                <w:szCs w:val="16"/>
              </w:rPr>
              <w:t xml:space="preserve">Risk Mgmt</w:t>
            </w:r>
          </w:p>
          <w:p>
            <w:pPr>
              <w:jc w:val="center"/>
            </w:pPr>
            <w:r>
              <w:rPr>
                <w:rFonts w:ascii="Arial" w:cs="Arial" w:eastAsia="Arial" w:hAnsi="Arial"/>
                <w:b/>
                <w:bCs/>
                <w:color w:val="2563EB"/>
                <w:sz w:val="20"/>
                <w:szCs w:val="20"/>
              </w:rPr>
              <w:t xml:space="preserve">20%</w:t>
            </w:r>
          </w:p>
        </w:tc>
        <w:tc>
          <w:tcPr>
            <w:tcW w:type="dxa" w:w="1500"/>
            <w:tcBorders>
              <w:top w:val="single" w:color="D1D5DB" w:sz="1"/>
              <w:left w:val="single" w:color="D1D5DB" w:sz="1"/>
              <w:bottom w:val="single" w:color="D1D5DB" w:sz="1"/>
              <w:right w:val="single" w:color="D1D5DB" w:sz="1"/>
            </w:tcBorders>
            <w:shd w:fill="F0F4FF" w:val="clear"/>
            <w:tcMar>
              <w:top w:type="dxa" w:w="80"/>
              <w:left w:type="dxa" w:w="80"/>
              <w:bottom w:type="dxa" w:w="80"/>
              <w:right w:type="dxa" w:w="80"/>
            </w:tcMar>
          </w:tcPr>
          <w:p>
            <w:pPr>
              <w:jc w:val="center"/>
            </w:pPr>
            <w:r>
              <w:rPr>
                <w:rFonts w:ascii="Arial" w:cs="Arial" w:eastAsia="Arial" w:hAnsi="Arial"/>
                <w:b/>
                <w:bCs/>
                <w:color w:val="059669"/>
                <w:sz w:val="18"/>
                <w:szCs w:val="18"/>
              </w:rPr>
              <w:t xml:space="preserve">Domain 3</w:t>
            </w:r>
          </w:p>
          <w:p>
            <w:pPr>
              <w:jc w:val="center"/>
            </w:pPr>
            <w:r>
              <w:rPr>
                <w:rFonts w:ascii="Arial" w:cs="Arial" w:eastAsia="Arial" w:hAnsi="Arial"/>
                <w:color w:val="374151"/>
                <w:sz w:val="16"/>
                <w:szCs w:val="16"/>
              </w:rPr>
              <w:t xml:space="preserve">Sec. Program</w:t>
            </w:r>
          </w:p>
          <w:p>
            <w:pPr>
              <w:jc w:val="center"/>
            </w:pPr>
            <w:r>
              <w:rPr>
                <w:rFonts w:ascii="Arial" w:cs="Arial" w:eastAsia="Arial" w:hAnsi="Arial"/>
                <w:b/>
                <w:bCs/>
                <w:color w:val="059669"/>
                <w:sz w:val="20"/>
                <w:szCs w:val="20"/>
              </w:rPr>
              <w:t xml:space="preserve">33%</w:t>
            </w:r>
          </w:p>
        </w:tc>
        <w:tc>
          <w:tcPr>
            <w:tcW w:type="dxa" w:w="1500"/>
            <w:tcBorders>
              <w:top w:val="single" w:color="D1D5DB" w:sz="1"/>
              <w:left w:val="single" w:color="D1D5DB" w:sz="1"/>
              <w:bottom w:val="single" w:color="D1D5DB" w:sz="1"/>
              <w:right w:val="single" w:color="D1D5DB" w:sz="1"/>
            </w:tcBorders>
            <w:shd w:fill="F0F4FF" w:val="clear"/>
            <w:tcMar>
              <w:top w:type="dxa" w:w="80"/>
              <w:left w:type="dxa" w:w="80"/>
              <w:bottom w:type="dxa" w:w="80"/>
              <w:right w:type="dxa" w:w="80"/>
            </w:tcMar>
          </w:tcPr>
          <w:p>
            <w:pPr>
              <w:jc w:val="center"/>
            </w:pPr>
            <w:r>
              <w:rPr>
                <w:rFonts w:ascii="Arial" w:cs="Arial" w:eastAsia="Arial" w:hAnsi="Arial"/>
                <w:b/>
                <w:bCs/>
                <w:color w:val="D97706"/>
                <w:sz w:val="18"/>
                <w:szCs w:val="18"/>
              </w:rPr>
              <w:t xml:space="preserve">Domain 4</w:t>
            </w:r>
          </w:p>
          <w:p>
            <w:pPr>
              <w:jc w:val="center"/>
            </w:pPr>
            <w:r>
              <w:rPr>
                <w:rFonts w:ascii="Arial" w:cs="Arial" w:eastAsia="Arial" w:hAnsi="Arial"/>
                <w:color w:val="374151"/>
                <w:sz w:val="16"/>
                <w:szCs w:val="16"/>
              </w:rPr>
              <w:t xml:space="preserve">Incident Mgmt</w:t>
            </w:r>
          </w:p>
          <w:p>
            <w:pPr>
              <w:jc w:val="center"/>
            </w:pPr>
            <w:r>
              <w:rPr>
                <w:rFonts w:ascii="Arial" w:cs="Arial" w:eastAsia="Arial" w:hAnsi="Arial"/>
                <w:b/>
                <w:bCs/>
                <w:color w:val="D97706"/>
                <w:sz w:val="20"/>
                <w:szCs w:val="20"/>
              </w:rPr>
              <w:t xml:space="preserve">30%</w:t>
            </w:r>
          </w:p>
        </w:tc>
      </w:tr>
    </w:tbl>
    <w:p>
      <w:r>
        <w:br w:type="page"/>
      </w:r>
    </w:p>
    <w:p>
      <w:pPr>
        <w:pStyle w:val="Heading1"/>
        <w:pBdr>
          <w:bottom w:val="single" w:color="1A3A6B" w:sz="8" w:space="6"/>
        </w:pBdr>
        <w:spacing w:before="360" w:after="160"/>
      </w:pPr>
      <w:r>
        <w:rPr>
          <w:rFonts w:ascii="Arial" w:cs="Arial" w:eastAsia="Arial" w:hAnsi="Arial"/>
          <w:b/>
          <w:bCs/>
          <w:color w:val="1A3A6B"/>
          <w:sz w:val="36"/>
          <w:szCs w:val="36"/>
        </w:rPr>
        <w:t xml:space="preserve">How to Use This Guide</w:t>
      </w:r>
    </w:p>
    <w:p>
      <w:pPr>
        <w:spacing w:before="60" w:after="60"/>
      </w:pPr>
      <w:r>
        <w:rPr>
          <w:rFonts w:ascii="Arial" w:cs="Arial" w:eastAsia="Arial" w:hAnsi="Arial"/>
          <w:color w:val="374151"/>
          <w:sz w:val="20"/>
          <w:szCs w:val="20"/>
        </w:rPr>
        <w:t xml:space="preserve">This guide targets the concepts that candidates consistently find most difficult in the CISM examination. Rather than covering everything, it goes deep on areas where exam questions are commonly answered incorrectly — the distinctions that look similar on the surface but carry very different meanings in an exam context.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DE68A" w:sz="1"/>
              <w:left w:val="single" w:color="FDE68A" w:sz="1"/>
              <w:bottom w:val="single" w:color="FDE68A" w:sz="1"/>
              <w:right w:val="single" w:color="FDE68A" w:sz="1"/>
            </w:tcBorders>
            <w:shd w:fill="FFFBEB" w:val="clear"/>
            <w:tcMar>
              <w:top w:type="dxa" w:w="100"/>
              <w:left w:type="dxa" w:w="160"/>
              <w:bottom w:type="dxa" w:w="60"/>
              <w:right w:type="dxa" w:w="160"/>
            </w:tcMar>
          </w:tcPr>
          <w:p>
            <w:pPr>
              <w:spacing w:before="0" w:after="80"/>
            </w:pPr>
            <w:r>
              <w:rPr>
                <w:rFonts w:ascii="Arial" w:cs="Arial" w:eastAsia="Arial" w:hAnsi="Arial"/>
                <w:b/>
                <w:bCs/>
                <w:caps/>
                <w:color w:val="92400E"/>
                <w:sz w:val="18"/>
                <w:szCs w:val="18"/>
              </w:rPr>
              <w:t xml:space="preserve">How This Guide Is Structured</w:t>
            </w:r>
          </w:p>
        </w:tc>
      </w:tr>
      <w:tr>
        <w:tc>
          <w:tcPr>
            <w:tcBorders>
              <w:top w:val="none" w:color="FFFFFF" w:sz="0"/>
              <w:left w:val="single" w:color="FDE68A" w:sz="1"/>
              <w:bottom w:val="none" w:color="FFFFFF" w:sz="0"/>
              <w:right w:val="single" w:color="FDE68A" w:sz="1"/>
            </w:tcBorders>
            <w:shd w:fill="FFFBEB"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Each topic begins with the core concept, then explains why it trips candidates up</w:t>
            </w:r>
          </w:p>
        </w:tc>
      </w:tr>
      <w:tr>
        <w:tc>
          <w:tcPr>
            <w:tcBorders>
              <w:top w:val="none" w:color="FFFFFF" w:sz="0"/>
              <w:left w:val="single" w:color="FDE68A" w:sz="1"/>
              <w:bottom w:val="none" w:color="FFFFFF" w:sz="0"/>
              <w:right w:val="single" w:color="FDE68A" w:sz="1"/>
            </w:tcBorders>
            <w:shd w:fill="FFFBEB"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Comparison tables show you side-by-side distinctions — the format most useful for exam preparation</w:t>
            </w:r>
          </w:p>
        </w:tc>
      </w:tr>
      <w:tr>
        <w:tc>
          <w:tcPr>
            <w:tcBorders>
              <w:top w:val="none" w:color="FFFFFF" w:sz="0"/>
              <w:left w:val="single" w:color="FDE68A" w:sz="1"/>
              <w:bottom w:val="none" w:color="FFFFFF" w:sz="0"/>
              <w:right w:val="single" w:color="FDE68A" w:sz="1"/>
            </w:tcBorders>
            <w:shd w:fill="FFFBEB"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Exam traps highlight the specific wording and scenarios where candidates most often go wrong</w:t>
            </w:r>
          </w:p>
        </w:tc>
      </w:tr>
      <w:tr>
        <w:tc>
          <w:tcPr>
            <w:tcBorders>
              <w:top w:val="none" w:color="FFFFFF" w:sz="0"/>
              <w:left w:val="single" w:color="FDE68A" w:sz="1"/>
              <w:bottom w:val="none" w:color="FFFFFF" w:sz="0"/>
              <w:right w:val="single" w:color="FDE68A" w:sz="1"/>
            </w:tcBorders>
            <w:shd w:fill="FFFBEB"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Memory anchors provide quick-recall hooks to help concepts stick under exam pressure</w:t>
            </w:r>
          </w:p>
        </w:tc>
      </w:tr>
      <w:tr>
        <w:tc>
          <w:tcPr>
            <w:tcBorders>
              <w:top w:val="none" w:color="FFFFFF" w:sz="0"/>
              <w:left w:val="single" w:color="FDE68A" w:sz="1"/>
              <w:bottom w:val="single" w:color="FDE68A" w:sz="1"/>
              <w:right w:val="single" w:color="FDE68A" w:sz="1"/>
            </w:tcBorders>
            <w:shd w:fill="FFFBEB" w:val="clear"/>
            <w:tcMar>
              <w:top w:type="dxa" w:w="60"/>
              <w:left w:type="dxa" w:w="160"/>
              <w:bottom w:type="dxa" w:w="0"/>
              <w:right w:type="dxa" w:w="160"/>
            </w:tcMar>
          </w:tcPr>
          <w:p>
            <w:pPr>
              <w:spacing w:before="0" w:after="0"/>
            </w:pPr>
            <w:r>
              <w:t xml:space="preserve"/>
            </w:r>
          </w:p>
        </w:tc>
      </w:tr>
    </w:tbl>
    <w:p>
      <w:r>
        <w:br w:type="page"/>
      </w:r>
    </w:p>
    <w:p>
      <w:pPr>
        <w:pStyle w:val="Heading1"/>
        <w:pBdr>
          <w:bottom w:val="single" w:color="1A3A6B" w:sz="8" w:space="6"/>
        </w:pBdr>
        <w:spacing w:before="360" w:after="160"/>
      </w:pPr>
      <w:r>
        <w:rPr>
          <w:rFonts w:ascii="Arial" w:cs="Arial" w:eastAsia="Arial" w:hAnsi="Arial"/>
          <w:b/>
          <w:bCs/>
          <w:color w:val="1A3A6B"/>
          <w:sz w:val="36"/>
          <w:szCs w:val="36"/>
        </w:rPr>
        <w:t xml:space="preserve">Domain 1 · Information Security Governance</w:t>
      </w:r>
    </w:p>
    <w:p>
      <w:pPr>
        <w:pStyle w:val="Heading2"/>
        <w:spacing w:before="280" w:after="120"/>
      </w:pPr>
      <w:r>
        <w:rPr>
          <w:rFonts w:ascii="Arial" w:cs="Arial" w:eastAsia="Arial" w:hAnsi="Arial"/>
          <w:b/>
          <w:bCs/>
          <w:color w:val="1A3A6B"/>
          <w:sz w:val="28"/>
          <w:szCs w:val="28"/>
        </w:rPr>
        <w:t xml:space="preserve">Topic 1.1 — Governance vs Management: The Most Tested Distinction</w:t>
      </w:r>
    </w:p>
    <w:p>
      <w:pPr>
        <w:spacing w:before="60" w:after="60"/>
      </w:pPr>
      <w:r>
        <w:rPr>
          <w:rFonts w:ascii="Arial" w:cs="Arial" w:eastAsia="Arial" w:hAnsi="Arial"/>
          <w:color w:val="374151"/>
          <w:sz w:val="20"/>
          <w:szCs w:val="20"/>
        </w:rPr>
        <w:t xml:space="preserve">This is one of the most frequently misunderstood concepts in the CISM exam. Candidates often conflate governance with management, leading to incorrect answers on questions about authority, accountability, and responsibilities.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GOVERNANCE</w:t>
            </w:r>
          </w:p>
        </w:tc>
        <w:tc>
          <w:tcPr>
            <w:tcW w:type="dxa" w:w="468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MANAGEMENT</w:t>
            </w:r>
          </w:p>
        </w:tc>
      </w:tr>
      <w:tr>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Sets strategic direction and objectives</w:t>
            </w:r>
          </w:p>
        </w:tc>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Implements plans to achieve objectives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Ensures accountability and oversight</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Executes and operates day-to-day activities</w:t>
            </w:r>
          </w:p>
        </w:tc>
      </w:tr>
      <w:tr>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Performed by Board / Senior Leadership</w:t>
            </w:r>
          </w:p>
        </w:tc>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Performed by CISO, managers, security team</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Asks: Are we doing the right things?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Asks: Are we doing things right?</w:t>
            </w:r>
          </w:p>
        </w:tc>
      </w:tr>
      <w:tr>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Approves policies and accepts risk</w:t>
            </w:r>
          </w:p>
        </w:tc>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Develops policies and manages risk</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Concerned with outcomes and alignment</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Concerned with processes and efficiency</w:t>
            </w:r>
          </w:p>
        </w:tc>
      </w:tr>
      <w:tr>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Cannot be delegated away</w:t>
            </w:r>
          </w:p>
        </w:tc>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Can be delegated to security professionals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ECACA" w:sz="1"/>
              <w:left w:val="single" w:color="FECACA" w:sz="1"/>
              <w:bottom w:val="single" w:color="FECACA" w:sz="1"/>
              <w:right w:val="single" w:color="FECACA" w:sz="1"/>
            </w:tcBorders>
            <w:shd w:fill="FEF2F2" w:val="clear"/>
            <w:tcMar>
              <w:top w:type="dxa" w:w="100"/>
              <w:left w:type="dxa" w:w="160"/>
              <w:bottom w:type="dxa" w:w="60"/>
              <w:right w:type="dxa" w:w="160"/>
            </w:tcMar>
          </w:tcPr>
          <w:p>
            <w:pPr>
              <w:spacing w:before="0" w:after="80"/>
            </w:pPr>
            <w:r>
              <w:rPr>
                <w:rFonts w:ascii="Arial" w:cs="Arial" w:eastAsia="Arial" w:hAnsi="Arial"/>
                <w:b/>
                <w:bCs/>
                <w:caps/>
                <w:color w:val="991B1B"/>
                <w:sz w:val="18"/>
                <w:szCs w:val="18"/>
              </w:rPr>
              <w:t xml:space="preserve">EXAM TRAP</w:t>
            </w:r>
          </w:p>
        </w:tc>
      </w:tr>
      <w:tr>
        <w:tc>
          <w:tcPr>
            <w:tcBorders>
              <w:top w:val="none" w:color="FFFFFF" w:sz="0"/>
              <w:left w:val="single" w:color="FECACA" w:sz="1"/>
              <w:bottom w:val="none" w:color="FFFFFF" w:sz="0"/>
              <w:right w:val="single" w:color="FECACA" w:sz="1"/>
            </w:tcBorders>
            <w:shd w:fill="FEF2F2"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Questions will describe an activity and ask 'who is responsible.' If the activity involves setting direction, approving, or accepting risk — the answer is always senior management or the board, never the CISO.</w:t>
            </w:r>
          </w:p>
        </w:tc>
      </w:tr>
      <w:tr>
        <w:tc>
          <w:tcPr>
            <w:tcBorders>
              <w:top w:val="none" w:color="FFFFFF" w:sz="0"/>
              <w:left w:val="single" w:color="FECACA" w:sz="1"/>
              <w:bottom w:val="none" w:color="FFFFFF" w:sz="0"/>
              <w:right w:val="single" w:color="FECACA" w:sz="1"/>
            </w:tcBorders>
            <w:shd w:fill="FEF2F2"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The CISM 'manages' the security programme but does NOT 'govern' it. Governance belongs to the board.</w:t>
            </w:r>
          </w:p>
        </w:tc>
      </w:tr>
      <w:tr>
        <w:tc>
          <w:tcPr>
            <w:tcBorders>
              <w:top w:val="none" w:color="FFFFFF" w:sz="0"/>
              <w:left w:val="single" w:color="FECACA" w:sz="1"/>
              <w:bottom w:val="single" w:color="FECACA" w:sz="1"/>
              <w:right w:val="single" w:color="FECACA" w:sz="1"/>
            </w:tcBorders>
            <w:shd w:fill="FEF2F2" w:val="clear"/>
            <w:tcMar>
              <w:top w:type="dxa" w:w="60"/>
              <w:left w:type="dxa" w:w="160"/>
              <w:bottom w:type="dxa" w:w="0"/>
              <w:right w:type="dxa" w:w="160"/>
            </w:tcMar>
          </w:tcPr>
          <w:p>
            <w:pPr>
              <w:spacing w:before="0" w:after="0"/>
            </w:pPr>
            <w:r>
              <w:t xml:space="preserve"/>
            </w:r>
          </w:p>
        </w:tc>
      </w:tr>
    </w:tbl>
    <w:p>
      <w:pPr>
        <w:spacing w:before="120" w:after="0"/>
      </w:pPr>
      <w:r>
        <w:t xml:space="preserve"/>
      </w:r>
    </w:p>
    <w:p>
      <w:pPr>
        <w:pStyle w:val="Heading2"/>
        <w:spacing w:before="280" w:after="120"/>
      </w:pPr>
      <w:r>
        <w:rPr>
          <w:rFonts w:ascii="Arial" w:cs="Arial" w:eastAsia="Arial" w:hAnsi="Arial"/>
          <w:b/>
          <w:bCs/>
          <w:color w:val="1A3A6B"/>
          <w:sz w:val="28"/>
          <w:szCs w:val="28"/>
        </w:rPr>
        <w:t xml:space="preserve">Topic 1.2 — The CISM Role: Advisory, Not Decision-Making</w:t>
      </w:r>
    </w:p>
    <w:p>
      <w:pPr>
        <w:spacing w:before="60" w:after="60"/>
      </w:pPr>
      <w:r>
        <w:rPr>
          <w:rFonts w:ascii="Arial" w:cs="Arial" w:eastAsia="Arial" w:hAnsi="Arial"/>
          <w:color w:val="374151"/>
          <w:sz w:val="20"/>
          <w:szCs w:val="20"/>
        </w:rPr>
        <w:t xml:space="preserve">A common mistake is choosing answers where the CISM makes unilateral decisions. The CISM's role is to advise, recommend, and implement — not to own final decisions on risk or policy approval.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DBFE" w:sz="1"/>
              <w:left w:val="single" w:color="BFDBFE" w:sz="1"/>
              <w:bottom w:val="single" w:color="BFDBFE" w:sz="1"/>
              <w:right w:val="single" w:color="BFDBFE" w:sz="1"/>
            </w:tcBorders>
            <w:shd w:fill="EFF6FF" w:val="clear"/>
            <w:tcMar>
              <w:top w:type="dxa" w:w="100"/>
              <w:left w:type="dxa" w:w="160"/>
              <w:bottom w:type="dxa" w:w="60"/>
              <w:right w:type="dxa" w:w="160"/>
            </w:tcMar>
          </w:tcPr>
          <w:p>
            <w:pPr>
              <w:spacing w:before="0" w:after="80"/>
            </w:pPr>
            <w:r>
              <w:rPr>
                <w:rFonts w:ascii="Arial" w:cs="Arial" w:eastAsia="Arial" w:hAnsi="Arial"/>
                <w:b/>
                <w:bCs/>
                <w:caps/>
                <w:color w:val="1A3A6B"/>
                <w:sz w:val="18"/>
                <w:szCs w:val="18"/>
              </w:rPr>
              <w:t xml:space="preserve">THE CISM'S ACTUAL ROLE</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Advises senior management on security risk and strategy</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Develops and recommends policies — but does NOT approve them</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Manages the security programme operationally</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Reports security posture to the board in business terms</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Facilitates risk assessment — but business owners ACCEPT risk, not the CISM</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Coordinates incident response — but does not own business continuity decisions</w:t>
            </w:r>
          </w:p>
        </w:tc>
      </w:tr>
      <w:tr>
        <w:tc>
          <w:tcPr>
            <w:tcBorders>
              <w:top w:val="none" w:color="FFFFFF" w:sz="0"/>
              <w:left w:val="single" w:color="BFDBFE" w:sz="1"/>
              <w:bottom w:val="single" w:color="BFDBFE" w:sz="1"/>
              <w:right w:val="single" w:color="BFDBFE" w:sz="1"/>
            </w:tcBorders>
            <w:shd w:fill="EFF6FF" w:val="clear"/>
            <w:tcMar>
              <w:top w:type="dxa" w:w="60"/>
              <w:left w:type="dxa" w:w="160"/>
              <w:bottom w:type="dxa" w:w="0"/>
              <w:right w:type="dxa" w:w="160"/>
            </w:tcMar>
          </w:tcPr>
          <w:p>
            <w:pPr>
              <w:spacing w:before="0" w:after="0"/>
            </w:pPr>
            <w:r>
              <w:t xml:space="preserve"/>
            </w:r>
          </w:p>
        </w:tc>
      </w:tr>
    </w:tbl>
    <w:p>
      <w:pPr>
        <w:spacing w:before="120" w:after="0"/>
      </w:pPr>
      <w:r>
        <w:t xml:space="preserve"/>
      </w:r>
    </w:p>
    <w:p>
      <w:pPr>
        <w:pStyle w:val="Heading2"/>
        <w:spacing w:before="280" w:after="120"/>
      </w:pPr>
      <w:r>
        <w:rPr>
          <w:rFonts w:ascii="Arial" w:cs="Arial" w:eastAsia="Arial" w:hAnsi="Arial"/>
          <w:b/>
          <w:bCs/>
          <w:color w:val="1A3A6B"/>
          <w:sz w:val="28"/>
          <w:szCs w:val="28"/>
        </w:rPr>
        <w:t xml:space="preserve">Topic 1.3 — Security Strategy Must Follow Business Strategy</w:t>
      </w:r>
    </w:p>
    <w:p>
      <w:pPr>
        <w:spacing w:before="60" w:after="60"/>
      </w:pPr>
      <w:r>
        <w:rPr>
          <w:rFonts w:ascii="Arial" w:cs="Arial" w:eastAsia="Arial" w:hAnsi="Arial"/>
          <w:color w:val="374151"/>
          <w:sz w:val="20"/>
          <w:szCs w:val="20"/>
        </w:rPr>
        <w:t xml:space="preserve">The exam frequently tests whether candidates understand the correct direction of influence. Security strategy is derived FROM the business strategy — never the other way around.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60"/>
        <w:gridCol w:w="5000"/>
      </w:tblGrid>
      <w:tr>
        <w:tc>
          <w:tcPr>
            <w:tcW w:type="dxa" w:w="3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A3A6B"/>
                <w:sz w:val="20"/>
                <w:szCs w:val="20"/>
              </w:rPr>
              <w:t xml:space="preserve">Business Strategy</w:t>
            </w:r>
          </w:p>
        </w:tc>
        <w:tc>
          <w:tcPr>
            <w:tcW w:type="dxa" w:w="1360"/>
            <w:tcBorders>
              <w:top w:val="single" w:color="D1D5DB" w:sz="1"/>
              <w:left w:val="single" w:color="D1D5DB" w:sz="1"/>
              <w:bottom w:val="single" w:color="D1D5DB" w:sz="1"/>
              <w:right w:val="single" w:color="D1D5DB" w:sz="1"/>
            </w:tcBorders>
            <w:shd w:fill="F3F4F6" w:val="clear"/>
            <w:tcMar>
              <w:top w:type="dxa" w:w="80"/>
              <w:left w:type="dxa" w:w="80"/>
              <w:bottom w:type="dxa" w:w="80"/>
              <w:right w:type="dxa" w:w="80"/>
            </w:tcMar>
          </w:tcPr>
          <w:p>
            <w:pPr>
              <w:jc w:val="center"/>
            </w:pPr>
            <w:r>
              <w:rPr>
                <w:rFonts w:ascii="Arial" w:cs="Arial" w:eastAsia="Arial" w:hAnsi="Arial"/>
                <w:i/>
                <w:iCs/>
                <w:color w:val="374151"/>
                <w:sz w:val="20"/>
                <w:szCs w:val="20"/>
              </w:rPr>
              <w:t xml:space="preserve">→  drives</w:t>
            </w:r>
          </w:p>
        </w:tc>
        <w:tc>
          <w:tcPr>
            <w:tcW w:type="dxa" w:w="5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center"/>
            </w:pPr>
            <w:r>
              <w:rPr>
                <w:rFonts w:ascii="Arial" w:cs="Arial" w:eastAsia="Arial" w:hAnsi="Arial"/>
                <w:b/>
                <w:bCs/>
                <w:color w:val="14532D"/>
                <w:sz w:val="20"/>
                <w:szCs w:val="20"/>
              </w:rPr>
              <w:t xml:space="preserve">Security Strategy &amp; Programme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ECACA" w:sz="1"/>
              <w:left w:val="single" w:color="FECACA" w:sz="1"/>
              <w:bottom w:val="single" w:color="FECACA" w:sz="1"/>
              <w:right w:val="single" w:color="FECACA" w:sz="1"/>
            </w:tcBorders>
            <w:shd w:fill="FEF2F2" w:val="clear"/>
            <w:tcMar>
              <w:top w:type="dxa" w:w="100"/>
              <w:left w:type="dxa" w:w="160"/>
              <w:bottom w:type="dxa" w:w="60"/>
              <w:right w:type="dxa" w:w="160"/>
            </w:tcMar>
          </w:tcPr>
          <w:p>
            <w:pPr>
              <w:spacing w:before="0" w:after="80"/>
            </w:pPr>
            <w:r>
              <w:rPr>
                <w:rFonts w:ascii="Arial" w:cs="Arial" w:eastAsia="Arial" w:hAnsi="Arial"/>
                <w:b/>
                <w:bCs/>
                <w:caps/>
                <w:color w:val="991B1B"/>
                <w:sz w:val="18"/>
                <w:szCs w:val="18"/>
              </w:rPr>
              <w:t xml:space="preserve">EXAM TRAP</w:t>
            </w:r>
          </w:p>
        </w:tc>
      </w:tr>
      <w:tr>
        <w:tc>
          <w:tcPr>
            <w:tcBorders>
              <w:top w:val="none" w:color="FFFFFF" w:sz="0"/>
              <w:left w:val="single" w:color="FECACA" w:sz="1"/>
              <w:bottom w:val="none" w:color="FFFFFF" w:sz="0"/>
              <w:right w:val="single" w:color="FECACA" w:sz="1"/>
            </w:tcBorders>
            <w:shd w:fill="FEF2F2"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If asked 'what should the CISM do FIRST when developing a security strategy?' — the answer is always to understand the business strategy and objectives, not to conduct a risk assessment or select a framework.</w:t>
            </w:r>
          </w:p>
        </w:tc>
      </w:tr>
      <w:tr>
        <w:tc>
          <w:tcPr>
            <w:tcBorders>
              <w:top w:val="none" w:color="FFFFFF" w:sz="0"/>
              <w:left w:val="single" w:color="FECACA" w:sz="1"/>
              <w:bottom w:val="none" w:color="FFFFFF" w:sz="0"/>
              <w:right w:val="single" w:color="FECACA" w:sz="1"/>
            </w:tcBorders>
            <w:shd w:fill="FEF2F2"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Frameworks (ISO 27001, NIST) are tools to implement strategy. Choosing the framework comes AFTER defining the strategy.</w:t>
            </w:r>
          </w:p>
        </w:tc>
      </w:tr>
      <w:tr>
        <w:tc>
          <w:tcPr>
            <w:tcBorders>
              <w:top w:val="none" w:color="FFFFFF" w:sz="0"/>
              <w:left w:val="single" w:color="FECACA" w:sz="1"/>
              <w:bottom w:val="single" w:color="FECACA" w:sz="1"/>
              <w:right w:val="single" w:color="FECACA" w:sz="1"/>
            </w:tcBorders>
            <w:shd w:fill="FEF2F2" w:val="clear"/>
            <w:tcMar>
              <w:top w:type="dxa" w:w="60"/>
              <w:left w:type="dxa" w:w="160"/>
              <w:bottom w:type="dxa" w:w="0"/>
              <w:right w:type="dxa" w:w="160"/>
            </w:tcMar>
          </w:tcPr>
          <w:p>
            <w:pPr>
              <w:spacing w:before="0" w:after="0"/>
            </w:pPr>
            <w:r>
              <w:t xml:space="preserve"/>
            </w:r>
          </w:p>
        </w:tc>
      </w:tr>
    </w:tbl>
    <w:p>
      <w:r>
        <w:br w:type="page"/>
      </w:r>
    </w:p>
    <w:p>
      <w:pPr>
        <w:pStyle w:val="Heading1"/>
        <w:pBdr>
          <w:bottom w:val="single" w:color="1A3A6B" w:sz="8" w:space="6"/>
        </w:pBdr>
        <w:spacing w:before="360" w:after="160"/>
      </w:pPr>
      <w:r>
        <w:rPr>
          <w:rFonts w:ascii="Arial" w:cs="Arial" w:eastAsia="Arial" w:hAnsi="Arial"/>
          <w:b/>
          <w:bCs/>
          <w:color w:val="1A3A6B"/>
          <w:sz w:val="36"/>
          <w:szCs w:val="36"/>
        </w:rPr>
        <w:t xml:space="preserve">Domain 2 · Information Risk Management</w:t>
      </w:r>
    </w:p>
    <w:p>
      <w:pPr>
        <w:pStyle w:val="Heading2"/>
        <w:spacing w:before="280" w:after="120"/>
      </w:pPr>
      <w:r>
        <w:rPr>
          <w:rFonts w:ascii="Arial" w:cs="Arial" w:eastAsia="Arial" w:hAnsi="Arial"/>
          <w:b/>
          <w:bCs/>
          <w:color w:val="1A3A6B"/>
          <w:sz w:val="28"/>
          <w:szCs w:val="28"/>
        </w:rPr>
        <w:t xml:space="preserve">Topic 2.1 — The Quantitative Risk Formulas (You WILL Be Tested)</w:t>
      </w:r>
    </w:p>
    <w:p>
      <w:pPr>
        <w:spacing w:before="60" w:after="60"/>
      </w:pPr>
      <w:r>
        <w:rPr>
          <w:rFonts w:ascii="Arial" w:cs="Arial" w:eastAsia="Arial" w:hAnsi="Arial"/>
          <w:color w:val="374151"/>
          <w:sz w:val="20"/>
          <w:szCs w:val="20"/>
        </w:rPr>
        <w:t xml:space="preserve">Quantitative risk analysis uses specific formulas. These are almost always in the exam. Understand each term and how they relate to each other.</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EFF6FF" w:val="clear"/>
            <w:tcMar>
              <w:top w:type="dxa" w:w="100"/>
              <w:left w:type="dxa" w:w="200"/>
              <w:bottom w:type="dxa" w:w="100"/>
              <w:right w:type="dxa" w:w="200"/>
            </w:tcMar>
          </w:tcPr>
          <w:p>
            <w:pPr>
              <w:spacing w:before="40" w:after="40"/>
              <w:jc w:val="center"/>
            </w:pPr>
            <w:r>
              <w:rPr>
                <w:rFonts w:ascii="Courier New" w:cs="Courier New" w:eastAsia="Courier New" w:hAnsi="Courier New"/>
                <w:b/>
                <w:bCs/>
                <w:color w:val="1E40AF"/>
                <w:sz w:val="24"/>
                <w:szCs w:val="24"/>
              </w:rPr>
              <w:t xml:space="preserve">SLE  =  Asset Value  ×  Exposure Factor (EF)</w:t>
            </w:r>
          </w:p>
          <w:p>
            <w:pPr>
              <w:spacing w:before="0" w:after="40"/>
              <w:jc w:val="center"/>
            </w:pPr>
            <w:r>
              <w:rPr>
                <w:rFonts w:ascii="Arial" w:cs="Arial" w:eastAsia="Arial" w:hAnsi="Arial"/>
                <w:i/>
                <w:iCs/>
                <w:color w:val="374151"/>
                <w:sz w:val="18"/>
                <w:szCs w:val="18"/>
              </w:rPr>
              <w:t xml:space="preserve">Single Loss Expectancy: the expected monetary loss EACH TIME a risk event occurs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EFF6FF" w:val="clear"/>
            <w:tcMar>
              <w:top w:type="dxa" w:w="100"/>
              <w:left w:type="dxa" w:w="200"/>
              <w:bottom w:type="dxa" w:w="100"/>
              <w:right w:type="dxa" w:w="200"/>
            </w:tcMar>
          </w:tcPr>
          <w:p>
            <w:pPr>
              <w:spacing w:before="40" w:after="40"/>
              <w:jc w:val="center"/>
            </w:pPr>
            <w:r>
              <w:rPr>
                <w:rFonts w:ascii="Courier New" w:cs="Courier New" w:eastAsia="Courier New" w:hAnsi="Courier New"/>
                <w:b/>
                <w:bCs/>
                <w:color w:val="1E40AF"/>
                <w:sz w:val="24"/>
                <w:szCs w:val="24"/>
              </w:rPr>
              <w:t xml:space="preserve">ALE  =  SLE  ×  ARO</w:t>
            </w:r>
          </w:p>
          <w:p>
            <w:pPr>
              <w:spacing w:before="0" w:after="40"/>
              <w:jc w:val="center"/>
            </w:pPr>
            <w:r>
              <w:rPr>
                <w:rFonts w:ascii="Arial" w:cs="Arial" w:eastAsia="Arial" w:hAnsi="Arial"/>
                <w:i/>
                <w:iCs/>
                <w:color w:val="374151"/>
                <w:sz w:val="18"/>
                <w:szCs w:val="18"/>
              </w:rPr>
              <w:t xml:space="preserve">Annual Loss Expectancy: expected monetary loss per YEAR — the primary basis for control cost justification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EFF6FF" w:val="clear"/>
            <w:tcMar>
              <w:top w:type="dxa" w:w="100"/>
              <w:left w:type="dxa" w:w="200"/>
              <w:bottom w:type="dxa" w:w="100"/>
              <w:right w:type="dxa" w:w="200"/>
            </w:tcMar>
          </w:tcPr>
          <w:p>
            <w:pPr>
              <w:spacing w:before="40" w:after="40"/>
              <w:jc w:val="center"/>
            </w:pPr>
            <w:r>
              <w:rPr>
                <w:rFonts w:ascii="Courier New" w:cs="Courier New" w:eastAsia="Courier New" w:hAnsi="Courier New"/>
                <w:b/>
                <w:bCs/>
                <w:color w:val="1E40AF"/>
                <w:sz w:val="24"/>
                <w:szCs w:val="24"/>
              </w:rPr>
              <w:t xml:space="preserve">Control Justification:  Cost of Control  &lt;  ALE  (before)  minus  ALE  (after)</w:t>
            </w:r>
          </w:p>
          <w:p>
            <w:pPr>
              <w:spacing w:before="0" w:after="40"/>
              <w:jc w:val="center"/>
            </w:pPr>
            <w:r>
              <w:rPr>
                <w:rFonts w:ascii="Arial" w:cs="Arial" w:eastAsia="Arial" w:hAnsi="Arial"/>
                <w:i/>
                <w:iCs/>
                <w:color w:val="374151"/>
                <w:sz w:val="18"/>
                <w:szCs w:val="18"/>
              </w:rPr>
              <w:t xml:space="preserve">A control is worth implementing if it reduces ALE by more than the cost of the control annually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Term</w:t>
            </w:r>
          </w:p>
        </w:tc>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Stands For</w:t>
            </w:r>
          </w:p>
        </w:tc>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What It Means</w:t>
            </w:r>
          </w:p>
        </w:tc>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Typical Usage</w:t>
            </w:r>
          </w:p>
        </w:tc>
      </w:tr>
      <w:tr>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SLE</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Single Loss Expectancy</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Expected loss per incident</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£500,000 per breach event</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ALE</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Annual Loss Expectancy</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Expected loss per year</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£200,000/year (£500k × 0.4)</w:t>
            </w:r>
          </w:p>
        </w:tc>
      </w:tr>
      <w:tr>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ARO</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Annual Rate of Occurrence</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How often the event happens per year</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0.4 = once every 2.5 years</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EF</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Exposure Factor</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 of asset lost if incident occurs</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40% = £200k of £500k asset</w:t>
            </w:r>
          </w:p>
        </w:tc>
      </w:tr>
      <w:tr>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AV</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Asset Value</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Total value of the asset</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Tangible + intangible value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6EFAC" w:sz="1"/>
              <w:left w:val="single" w:color="86EFAC" w:sz="1"/>
              <w:bottom w:val="single" w:color="86EFAC" w:sz="1"/>
              <w:right w:val="single" w:color="86EFAC" w:sz="1"/>
            </w:tcBorders>
            <w:shd w:fill="F0FDF4" w:val="clear"/>
            <w:tcMar>
              <w:top w:type="dxa" w:w="100"/>
              <w:left w:type="dxa" w:w="160"/>
              <w:bottom w:type="dxa" w:w="60"/>
              <w:right w:type="dxa" w:w="160"/>
            </w:tcMar>
          </w:tcPr>
          <w:p>
            <w:pPr>
              <w:spacing w:before="0" w:after="80"/>
            </w:pPr>
            <w:r>
              <w:rPr>
                <w:rFonts w:ascii="Arial" w:cs="Arial" w:eastAsia="Arial" w:hAnsi="Arial"/>
                <w:b/>
                <w:bCs/>
                <w:caps/>
                <w:color w:val="14532D"/>
                <w:sz w:val="18"/>
                <w:szCs w:val="18"/>
              </w:rPr>
              <w:t xml:space="preserve">WORKED EXAMPLE</w:t>
            </w:r>
          </w:p>
        </w:tc>
      </w:tr>
      <w:tr>
        <w:tc>
          <w:tcPr>
            <w:tcBorders>
              <w:top w:val="none" w:color="FFFFFF" w:sz="0"/>
              <w:left w:val="single" w:color="86EFAC" w:sz="1"/>
              <w:bottom w:val="none" w:color="FFFFFF" w:sz="0"/>
              <w:right w:val="single" w:color="86EFAC" w:sz="1"/>
            </w:tcBorders>
            <w:shd w:fill="F0FDF4"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A database server has an Asset Value (AV) of £1,000,000</w:t>
            </w:r>
          </w:p>
        </w:tc>
      </w:tr>
      <w:tr>
        <w:tc>
          <w:tcPr>
            <w:tcBorders>
              <w:top w:val="none" w:color="FFFFFF" w:sz="0"/>
              <w:left w:val="single" w:color="86EFAC" w:sz="1"/>
              <w:bottom w:val="none" w:color="FFFFFF" w:sz="0"/>
              <w:right w:val="single" w:color="86EFAC" w:sz="1"/>
            </w:tcBorders>
            <w:shd w:fill="F0FDF4"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If compromised, 30% of its value would be lost  →  EF = 0.30</w:t>
            </w:r>
          </w:p>
        </w:tc>
      </w:tr>
      <w:tr>
        <w:tc>
          <w:tcPr>
            <w:tcBorders>
              <w:top w:val="none" w:color="FFFFFF" w:sz="0"/>
              <w:left w:val="single" w:color="86EFAC" w:sz="1"/>
              <w:bottom w:val="none" w:color="FFFFFF" w:sz="0"/>
              <w:right w:val="single" w:color="86EFAC" w:sz="1"/>
            </w:tcBorders>
            <w:shd w:fill="F0FDF4"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SLE = £1,000,000 × 0.30 = £300,000 per incident</w:t>
            </w:r>
          </w:p>
        </w:tc>
      </w:tr>
      <w:tr>
        <w:tc>
          <w:tcPr>
            <w:tcBorders>
              <w:top w:val="none" w:color="FFFFFF" w:sz="0"/>
              <w:left w:val="single" w:color="86EFAC" w:sz="1"/>
              <w:bottom w:val="none" w:color="FFFFFF" w:sz="0"/>
              <w:right w:val="single" w:color="86EFAC" w:sz="1"/>
            </w:tcBorders>
            <w:shd w:fill="F0FDF4"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The threat is expected to occur once every 5 years  →  ARO = 0.20</w:t>
            </w:r>
          </w:p>
        </w:tc>
      </w:tr>
      <w:tr>
        <w:tc>
          <w:tcPr>
            <w:tcBorders>
              <w:top w:val="none" w:color="FFFFFF" w:sz="0"/>
              <w:left w:val="single" w:color="86EFAC" w:sz="1"/>
              <w:bottom w:val="none" w:color="FFFFFF" w:sz="0"/>
              <w:right w:val="single" w:color="86EFAC" w:sz="1"/>
            </w:tcBorders>
            <w:shd w:fill="F0FDF4"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ALE = £300,000 × 0.20 = £60,000 per year</w:t>
            </w:r>
          </w:p>
        </w:tc>
      </w:tr>
      <w:tr>
        <w:tc>
          <w:tcPr>
            <w:tcBorders>
              <w:top w:val="none" w:color="FFFFFF" w:sz="0"/>
              <w:left w:val="single" w:color="86EFAC" w:sz="1"/>
              <w:bottom w:val="none" w:color="FFFFFF" w:sz="0"/>
              <w:right w:val="single" w:color="86EFAC" w:sz="1"/>
            </w:tcBorders>
            <w:shd w:fill="F0FDF4"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Conclusion: A control costing up to £60,000/year is cost-justifiable</w:t>
            </w:r>
          </w:p>
        </w:tc>
      </w:tr>
      <w:tr>
        <w:tc>
          <w:tcPr>
            <w:tcBorders>
              <w:top w:val="none" w:color="FFFFFF" w:sz="0"/>
              <w:left w:val="single" w:color="86EFAC" w:sz="1"/>
              <w:bottom w:val="single" w:color="86EFAC" w:sz="1"/>
              <w:right w:val="single" w:color="86EFAC" w:sz="1"/>
            </w:tcBorders>
            <w:shd w:fill="F0FDF4" w:val="clear"/>
            <w:tcMar>
              <w:top w:type="dxa" w:w="60"/>
              <w:left w:type="dxa" w:w="160"/>
              <w:bottom w:type="dxa" w:w="0"/>
              <w:right w:type="dxa" w:w="160"/>
            </w:tcMar>
          </w:tcPr>
          <w:p>
            <w:pPr>
              <w:spacing w:before="0" w:after="0"/>
            </w:pPr>
            <w:r>
              <w:t xml:space="preserve"/>
            </w:r>
          </w:p>
        </w:tc>
      </w:tr>
    </w:tbl>
    <w:p>
      <w:pPr>
        <w:spacing w:before="120" w:after="0"/>
      </w:pPr>
      <w:r>
        <w:t xml:space="preserve"/>
      </w:r>
    </w:p>
    <w:p>
      <w:pPr>
        <w:pStyle w:val="Heading2"/>
        <w:spacing w:before="280" w:after="120"/>
      </w:pPr>
      <w:r>
        <w:rPr>
          <w:rFonts w:ascii="Arial" w:cs="Arial" w:eastAsia="Arial" w:hAnsi="Arial"/>
          <w:b/>
          <w:bCs/>
          <w:color w:val="1A3A6B"/>
          <w:sz w:val="28"/>
          <w:szCs w:val="28"/>
        </w:rPr>
        <w:t xml:space="preserve">Topic 2.2 — Risk Appetite, Tolerance &amp; Capacity: Three Terms, One Trap</w:t>
      </w:r>
    </w:p>
    <w:p>
      <w:pPr>
        <w:spacing w:before="60" w:after="60"/>
      </w:pPr>
      <w:r>
        <w:rPr>
          <w:rFonts w:ascii="Arial" w:cs="Arial" w:eastAsia="Arial" w:hAnsi="Arial"/>
          <w:color w:val="374151"/>
          <w:sz w:val="20"/>
          <w:szCs w:val="20"/>
        </w:rPr>
        <w:t xml:space="preserve">Candidates routinely confuse these three related but distinct concepts. The exam exploits this by using them in close proximity.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Term</w:t>
            </w:r>
          </w:p>
        </w:tc>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Definition</w:t>
            </w:r>
          </w:p>
        </w:tc>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Set By</w:t>
            </w:r>
          </w:p>
        </w:tc>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Key Characteristic</w:t>
            </w:r>
          </w:p>
        </w:tc>
      </w:tr>
      <w:tr>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Risk Appetite</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Amount of risk the org is WILLING to accept pursuing objectives</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Board / Senior Management</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Strategic — a choice</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Risk Tolerance</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Acceptable variation around the risk appetite</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Senior Management</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Operational — a boundary</w:t>
            </w:r>
          </w:p>
        </w:tc>
      </w:tr>
      <w:tr>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Risk Capacity</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Maximum risk the org CAN absorb before existential harm</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Financial/operational reality</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 limit — not a choice</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Risk Threshold</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The point at which risk must trigger action or escalation</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Management / policy</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A trigger point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DBFE" w:sz="1"/>
              <w:left w:val="single" w:color="BFDBFE" w:sz="1"/>
              <w:bottom w:val="single" w:color="BFDBFE" w:sz="1"/>
              <w:right w:val="single" w:color="BFDBFE" w:sz="1"/>
            </w:tcBorders>
            <w:shd w:fill="EFF6FF" w:val="clear"/>
            <w:tcMar>
              <w:top w:type="dxa" w:w="100"/>
              <w:left w:type="dxa" w:w="160"/>
              <w:bottom w:type="dxa" w:w="60"/>
              <w:right w:type="dxa" w:w="160"/>
            </w:tcMar>
          </w:tcPr>
          <w:p>
            <w:pPr>
              <w:spacing w:before="0" w:after="80"/>
            </w:pPr>
            <w:r>
              <w:rPr>
                <w:rFonts w:ascii="Arial" w:cs="Arial" w:eastAsia="Arial" w:hAnsi="Arial"/>
                <w:b/>
                <w:bCs/>
                <w:caps/>
                <w:color w:val="1A3A6B"/>
                <w:sz w:val="18"/>
                <w:szCs w:val="18"/>
              </w:rPr>
              <w:t xml:space="preserve">MEMORY ANCHOR</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Think of it like driving a car:</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Appetite = how fast you WANT to drive (your preference)</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Tolerance = the range you'll stay in (e.g. speed limit ±5mph)</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Capacity = the speed at which the car physically breaks apart (hard limit)</w:t>
            </w:r>
          </w:p>
        </w:tc>
      </w:tr>
      <w:tr>
        <w:tc>
          <w:tcPr>
            <w:tcBorders>
              <w:top w:val="none" w:color="FFFFFF" w:sz="0"/>
              <w:left w:val="single" w:color="BFDBFE" w:sz="1"/>
              <w:bottom w:val="single" w:color="BFDBFE" w:sz="1"/>
              <w:right w:val="single" w:color="BFDBFE" w:sz="1"/>
            </w:tcBorders>
            <w:shd w:fill="EFF6FF" w:val="clear"/>
            <w:tcMar>
              <w:top w:type="dxa" w:w="60"/>
              <w:left w:type="dxa" w:w="160"/>
              <w:bottom w:type="dxa" w:w="0"/>
              <w:right w:type="dxa" w:w="160"/>
            </w:tcMar>
          </w:tcPr>
          <w:p>
            <w:pPr>
              <w:spacing w:before="0" w:after="0"/>
            </w:pPr>
            <w:r>
              <w:t xml:space="preserve"/>
            </w:r>
          </w:p>
        </w:tc>
      </w:tr>
    </w:tbl>
    <w:p>
      <w:pPr>
        <w:spacing w:before="120" w:after="0"/>
      </w:pPr>
      <w:r>
        <w:t xml:space="preserve"/>
      </w:r>
    </w:p>
    <w:p>
      <w:pPr>
        <w:pStyle w:val="Heading2"/>
        <w:spacing w:before="280" w:after="120"/>
      </w:pPr>
      <w:r>
        <w:rPr>
          <w:rFonts w:ascii="Arial" w:cs="Arial" w:eastAsia="Arial" w:hAnsi="Arial"/>
          <w:b/>
          <w:bCs/>
          <w:color w:val="1A3A6B"/>
          <w:sz w:val="28"/>
          <w:szCs w:val="28"/>
        </w:rPr>
        <w:t xml:space="preserve">Topic 2.3 — Inherent vs Residual Risk: What the Exam Looks For</w:t>
      </w:r>
    </w:p>
    <w:p>
      <w:pPr>
        <w:spacing w:before="60" w:after="60"/>
      </w:pPr>
      <w:r>
        <w:rPr>
          <w:rFonts w:ascii="Arial" w:cs="Arial" w:eastAsia="Arial" w:hAnsi="Arial"/>
          <w:color w:val="374151"/>
          <w:sz w:val="20"/>
          <w:szCs w:val="20"/>
        </w:rPr>
        <w:t xml:space="preserve">These two risk states must be understood both conceptually and practically, as both appear in risk registers and questions about risk acceptance.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INHERENT RISK</w:t>
            </w:r>
          </w:p>
        </w:tc>
        <w:tc>
          <w:tcPr>
            <w:tcW w:type="dxa" w:w="468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RESIDUAL RISK</w:t>
            </w:r>
          </w:p>
        </w:tc>
      </w:tr>
      <w:tr>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Risk BEFORE any controls are applied</w:t>
            </w:r>
          </w:p>
        </w:tc>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Risk REMAINING after controls are applied</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Represents the raw/untreated risk level</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Represents what the organisation actually faces</w:t>
            </w:r>
          </w:p>
        </w:tc>
      </w:tr>
      <w:tr>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Used as a baseline for risk assessment</w:t>
            </w:r>
          </w:p>
        </w:tc>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Used as the basis for risk acceptance decisions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Always higher than residual risk</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Always lower than inherent risk (if controls work)</w:t>
            </w:r>
          </w:p>
        </w:tc>
      </w:tr>
      <w:tr>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Not used for formal risk acceptance</w:t>
            </w:r>
          </w:p>
        </w:tc>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MUST be formally accepted by business owners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Documented in risk register as starting point</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Documented in risk register as the current state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ECACA" w:sz="1"/>
              <w:left w:val="single" w:color="FECACA" w:sz="1"/>
              <w:bottom w:val="single" w:color="FECACA" w:sz="1"/>
              <w:right w:val="single" w:color="FECACA" w:sz="1"/>
            </w:tcBorders>
            <w:shd w:fill="FEF2F2" w:val="clear"/>
            <w:tcMar>
              <w:top w:type="dxa" w:w="100"/>
              <w:left w:type="dxa" w:w="160"/>
              <w:bottom w:type="dxa" w:w="60"/>
              <w:right w:type="dxa" w:w="160"/>
            </w:tcMar>
          </w:tcPr>
          <w:p>
            <w:pPr>
              <w:spacing w:before="0" w:after="80"/>
            </w:pPr>
            <w:r>
              <w:rPr>
                <w:rFonts w:ascii="Arial" w:cs="Arial" w:eastAsia="Arial" w:hAnsi="Arial"/>
                <w:b/>
                <w:bCs/>
                <w:caps/>
                <w:color w:val="991B1B"/>
                <w:sz w:val="18"/>
                <w:szCs w:val="18"/>
              </w:rPr>
              <w:t xml:space="preserve">EXAM TRAP</w:t>
            </w:r>
          </w:p>
        </w:tc>
      </w:tr>
      <w:tr>
        <w:tc>
          <w:tcPr>
            <w:tcBorders>
              <w:top w:val="none" w:color="FFFFFF" w:sz="0"/>
              <w:left w:val="single" w:color="FECACA" w:sz="1"/>
              <w:bottom w:val="none" w:color="FFFFFF" w:sz="0"/>
              <w:right w:val="single" w:color="FECACA" w:sz="1"/>
            </w:tcBorders>
            <w:shd w:fill="FEF2F2"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Risk acceptance is ALWAYS made on RESIDUAL risk — after controls have been applied.</w:t>
            </w:r>
          </w:p>
        </w:tc>
      </w:tr>
      <w:tr>
        <w:tc>
          <w:tcPr>
            <w:tcBorders>
              <w:top w:val="none" w:color="FFFFFF" w:sz="0"/>
              <w:left w:val="single" w:color="FECACA" w:sz="1"/>
              <w:bottom w:val="none" w:color="FFFFFF" w:sz="0"/>
              <w:right w:val="single" w:color="FECACA" w:sz="1"/>
            </w:tcBorders>
            <w:shd w:fill="FEF2F2"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The question 'who accepts residual risk?' always has the same answer: the business owner or senior management — NEVER the security team or CISO.</w:t>
            </w:r>
          </w:p>
        </w:tc>
      </w:tr>
      <w:tr>
        <w:tc>
          <w:tcPr>
            <w:tcBorders>
              <w:top w:val="none" w:color="FFFFFF" w:sz="0"/>
              <w:left w:val="single" w:color="FECACA" w:sz="1"/>
              <w:bottom w:val="none" w:color="FFFFFF" w:sz="0"/>
              <w:right w:val="single" w:color="FECACA" w:sz="1"/>
            </w:tcBorders>
            <w:shd w:fill="FEF2F2"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Even when outsourcing, the organisation retains accountability. Only financial liability transfers.</w:t>
            </w:r>
          </w:p>
        </w:tc>
      </w:tr>
      <w:tr>
        <w:tc>
          <w:tcPr>
            <w:tcBorders>
              <w:top w:val="none" w:color="FFFFFF" w:sz="0"/>
              <w:left w:val="single" w:color="FECACA" w:sz="1"/>
              <w:bottom w:val="single" w:color="FECACA" w:sz="1"/>
              <w:right w:val="single" w:color="FECACA" w:sz="1"/>
            </w:tcBorders>
            <w:shd w:fill="FEF2F2" w:val="clear"/>
            <w:tcMar>
              <w:top w:type="dxa" w:w="60"/>
              <w:left w:type="dxa" w:w="160"/>
              <w:bottom w:type="dxa" w:w="0"/>
              <w:right w:type="dxa" w:w="160"/>
            </w:tcMar>
          </w:tcPr>
          <w:p>
            <w:pPr>
              <w:spacing w:before="0" w:after="0"/>
            </w:pPr>
            <w:r>
              <w:t xml:space="preserve"/>
            </w:r>
          </w:p>
        </w:tc>
      </w:tr>
    </w:tbl>
    <w:p>
      <w:r>
        <w:br w:type="page"/>
      </w:r>
    </w:p>
    <w:p>
      <w:pPr>
        <w:pStyle w:val="Heading1"/>
        <w:pBdr>
          <w:bottom w:val="single" w:color="1A3A6B" w:sz="8" w:space="6"/>
        </w:pBdr>
        <w:spacing w:before="360" w:after="160"/>
      </w:pPr>
      <w:r>
        <w:rPr>
          <w:rFonts w:ascii="Arial" w:cs="Arial" w:eastAsia="Arial" w:hAnsi="Arial"/>
          <w:b/>
          <w:bCs/>
          <w:color w:val="1A3A6B"/>
          <w:sz w:val="36"/>
          <w:szCs w:val="36"/>
        </w:rPr>
        <w:t xml:space="preserve">Domain 3 · Information Security Program</w:t>
      </w:r>
    </w:p>
    <w:p>
      <w:pPr>
        <w:pStyle w:val="Heading2"/>
        <w:spacing w:before="280" w:after="120"/>
      </w:pPr>
      <w:r>
        <w:rPr>
          <w:rFonts w:ascii="Arial" w:cs="Arial" w:eastAsia="Arial" w:hAnsi="Arial"/>
          <w:b/>
          <w:bCs/>
          <w:color w:val="1A3A6B"/>
          <w:sz w:val="28"/>
          <w:szCs w:val="28"/>
        </w:rPr>
        <w:t xml:space="preserve">Topic 3.1 — Control Classification: The 3×3 Matrix</w:t>
      </w:r>
    </w:p>
    <w:p>
      <w:pPr>
        <w:spacing w:before="60" w:after="60"/>
      </w:pPr>
      <w:r>
        <w:rPr>
          <w:rFonts w:ascii="Arial" w:cs="Arial" w:eastAsia="Arial" w:hAnsi="Arial"/>
          <w:color w:val="374151"/>
          <w:sz w:val="20"/>
          <w:szCs w:val="20"/>
        </w:rPr>
        <w:t xml:space="preserve">Controls are classified in two ways: by their function (what they do) and by their nature (how they work). Both classifications can appear in the same exam question, and confusing them is a common error.</w:t>
      </w:r>
    </w:p>
    <w:p>
      <w:pPr>
        <w:spacing w:before="80" w:after="0"/>
      </w:pPr>
      <w:r>
        <w:t xml:space="preserve"/>
      </w:r>
    </w:p>
    <w:p>
      <w:pPr>
        <w:pStyle w:val="Heading3"/>
        <w:spacing w:before="200" w:after="80"/>
      </w:pPr>
      <w:r>
        <w:rPr>
          <w:rFonts w:ascii="Arial" w:cs="Arial" w:eastAsia="Arial" w:hAnsi="Arial"/>
          <w:b/>
          <w:bCs/>
          <w:color w:val="2563EB"/>
          <w:sz w:val="22"/>
          <w:szCs w:val="22"/>
        </w:rPr>
        <w:t xml:space="preserve">Control Types by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60"/>
        <w:gridCol w:w="1800"/>
      </w:tblGrid>
      <w:tr>
        <w:tc>
          <w:tcPr>
            <w:tcW w:type="dxa" w:w="200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250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Purpose</w:t>
            </w:r>
          </w:p>
        </w:tc>
        <w:tc>
          <w:tcPr>
            <w:tcW w:type="dxa" w:w="306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Example</w:t>
            </w:r>
          </w:p>
        </w:tc>
        <w:tc>
          <w:tcPr>
            <w:tcW w:type="dxa" w:w="180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Timing</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Preventive</w:t>
            </w:r>
          </w:p>
        </w:tc>
        <w:tc>
          <w:tcPr>
            <w:tcW w:type="dxa" w:w="25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STOP incidents from occurring</w:t>
            </w:r>
          </w:p>
        </w:tc>
        <w:tc>
          <w:tcPr>
            <w:tcW w:type="dxa" w:w="30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Firewall, MFA, encryption, access controls</w:t>
            </w:r>
          </w:p>
        </w:tc>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Before incident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Detective</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IDENTIFY when incidents occur</w:t>
            </w:r>
          </w:p>
        </w:tc>
        <w:tc>
          <w:tcPr>
            <w:tcW w:type="dxa" w:w="3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IDS/IPS, SIEM, audit logs, monitoring</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During incident</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Corrective</w:t>
            </w:r>
          </w:p>
        </w:tc>
        <w:tc>
          <w:tcPr>
            <w:tcW w:type="dxa" w:w="25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RESTORE after an incident occurs</w:t>
            </w:r>
          </w:p>
        </w:tc>
        <w:tc>
          <w:tcPr>
            <w:tcW w:type="dxa" w:w="30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Backups, patching, incident response</w:t>
            </w:r>
          </w:p>
        </w:tc>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After incident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Deterrent</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DISCOURAGE attackers from trying</w:t>
            </w:r>
          </w:p>
        </w:tc>
        <w:tc>
          <w:tcPr>
            <w:tcW w:type="dxa" w:w="3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Warning banners, CCTV signage, penalties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Before incident</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Compensating</w:t>
            </w:r>
          </w:p>
        </w:tc>
        <w:tc>
          <w:tcPr>
            <w:tcW w:type="dxa" w:w="25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Alternative when primary control isn't feasible</w:t>
            </w:r>
          </w:p>
        </w:tc>
        <w:tc>
          <w:tcPr>
            <w:tcW w:type="dxa" w:w="30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Enhanced monitoring when encryption not possible</w:t>
            </w:r>
          </w:p>
        </w:tc>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Varies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Recovery</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Restore to normal operations</w:t>
            </w:r>
          </w:p>
        </w:tc>
        <w:tc>
          <w:tcPr>
            <w:tcW w:type="dxa" w:w="3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DRP, system restores, business continuity</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After incident</w:t>
            </w:r>
          </w:p>
        </w:tc>
      </w:tr>
    </w:tbl>
    <w:p>
      <w:pPr>
        <w:spacing w:before="120" w:after="0"/>
      </w:pPr>
      <w:r>
        <w:t xml:space="preserve"/>
      </w:r>
    </w:p>
    <w:p>
      <w:pPr>
        <w:pStyle w:val="Heading3"/>
        <w:spacing w:before="200" w:after="80"/>
      </w:pPr>
      <w:r>
        <w:rPr>
          <w:rFonts w:ascii="Arial" w:cs="Arial" w:eastAsia="Arial" w:hAnsi="Arial"/>
          <w:b/>
          <w:bCs/>
          <w:color w:val="2563EB"/>
          <w:sz w:val="22"/>
          <w:szCs w:val="22"/>
        </w:rPr>
        <w:t xml:space="preserve">Control Types by 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Nature</w:t>
            </w:r>
          </w:p>
        </w:tc>
        <w:tc>
          <w:tcPr>
            <w:tcW w:type="dxa" w:w="350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Meaning</w:t>
            </w:r>
          </w:p>
        </w:tc>
        <w:tc>
          <w:tcPr>
            <w:tcW w:type="dxa" w:w="386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Examples</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Administrative</w:t>
            </w:r>
          </w:p>
        </w:tc>
        <w:tc>
          <w:tcPr>
            <w:tcW w:type="dxa" w:w="35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Policy and procedure-based controls</w:t>
            </w:r>
          </w:p>
        </w:tc>
        <w:tc>
          <w:tcPr>
            <w:tcW w:type="dxa" w:w="38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Security policies, training, background checks, NDAs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Technical</w:t>
            </w:r>
          </w:p>
        </w:tc>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Technology-based controls</w:t>
            </w:r>
          </w:p>
        </w:tc>
        <w:tc>
          <w:tcPr>
            <w:tcW w:type="dxa" w:w="3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Firewalls, encryption, access controls, MFA, SIEM</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Physical</w:t>
            </w:r>
          </w:p>
        </w:tc>
        <w:tc>
          <w:tcPr>
            <w:tcW w:type="dxa" w:w="35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Physical environment controls</w:t>
            </w:r>
          </w:p>
        </w:tc>
        <w:tc>
          <w:tcPr>
            <w:tcW w:type="dxa" w:w="38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CCTV, access cards, guards, locked server rooms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ECACA" w:sz="1"/>
              <w:left w:val="single" w:color="FECACA" w:sz="1"/>
              <w:bottom w:val="single" w:color="FECACA" w:sz="1"/>
              <w:right w:val="single" w:color="FECACA" w:sz="1"/>
            </w:tcBorders>
            <w:shd w:fill="FEF2F2" w:val="clear"/>
            <w:tcMar>
              <w:top w:type="dxa" w:w="100"/>
              <w:left w:type="dxa" w:w="160"/>
              <w:bottom w:type="dxa" w:w="60"/>
              <w:right w:type="dxa" w:w="160"/>
            </w:tcMar>
          </w:tcPr>
          <w:p>
            <w:pPr>
              <w:spacing w:before="0" w:after="80"/>
            </w:pPr>
            <w:r>
              <w:rPr>
                <w:rFonts w:ascii="Arial" w:cs="Arial" w:eastAsia="Arial" w:hAnsi="Arial"/>
                <w:b/>
                <w:bCs/>
                <w:caps/>
                <w:color w:val="991B1B"/>
                <w:sz w:val="18"/>
                <w:szCs w:val="18"/>
              </w:rPr>
              <w:t xml:space="preserve">EXAM TRAP</w:t>
            </w:r>
          </w:p>
        </w:tc>
      </w:tr>
      <w:tr>
        <w:tc>
          <w:tcPr>
            <w:tcBorders>
              <w:top w:val="none" w:color="FFFFFF" w:sz="0"/>
              <w:left w:val="single" w:color="FECACA" w:sz="1"/>
              <w:bottom w:val="none" w:color="FFFFFF" w:sz="0"/>
              <w:right w:val="single" w:color="FECACA" w:sz="1"/>
            </w:tcBorders>
            <w:shd w:fill="FEF2F2"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A question about 'the FIRST control to implement' often leads candidates to jump to technical solutions. Administrative controls (policy, classification, training) frequently come FIRST in a programme-building context.</w:t>
            </w:r>
          </w:p>
        </w:tc>
      </w:tr>
      <w:tr>
        <w:tc>
          <w:tcPr>
            <w:tcBorders>
              <w:top w:val="none" w:color="FFFFFF" w:sz="0"/>
              <w:left w:val="single" w:color="FECACA" w:sz="1"/>
              <w:bottom w:val="none" w:color="FFFFFF" w:sz="0"/>
              <w:right w:val="single" w:color="FECACA" w:sz="1"/>
            </w:tcBorders>
            <w:shd w:fill="FEF2F2"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A background check is a preventive AND administrative control. A CCTV camera is a detective AND physical control. Controls can satisfy both dimensions simultaneously.</w:t>
            </w:r>
          </w:p>
        </w:tc>
      </w:tr>
      <w:tr>
        <w:tc>
          <w:tcPr>
            <w:tcBorders>
              <w:top w:val="none" w:color="FFFFFF" w:sz="0"/>
              <w:left w:val="single" w:color="FECACA" w:sz="1"/>
              <w:bottom w:val="single" w:color="FECACA" w:sz="1"/>
              <w:right w:val="single" w:color="FECACA" w:sz="1"/>
            </w:tcBorders>
            <w:shd w:fill="FEF2F2" w:val="clear"/>
            <w:tcMar>
              <w:top w:type="dxa" w:w="60"/>
              <w:left w:type="dxa" w:w="160"/>
              <w:bottom w:type="dxa" w:w="0"/>
              <w:right w:type="dxa" w:w="160"/>
            </w:tcMar>
          </w:tcPr>
          <w:p>
            <w:pPr>
              <w:spacing w:before="0" w:after="0"/>
            </w:pPr>
            <w:r>
              <w:t xml:space="preserve"/>
            </w:r>
          </w:p>
        </w:tc>
      </w:tr>
    </w:tbl>
    <w:p>
      <w:pPr>
        <w:spacing w:before="120" w:after="0"/>
      </w:pPr>
      <w:r>
        <w:t xml:space="preserve"/>
      </w:r>
    </w:p>
    <w:p>
      <w:pPr>
        <w:pStyle w:val="Heading2"/>
        <w:spacing w:before="280" w:after="120"/>
      </w:pPr>
      <w:r>
        <w:rPr>
          <w:rFonts w:ascii="Arial" w:cs="Arial" w:eastAsia="Arial" w:hAnsi="Arial"/>
          <w:b/>
          <w:bCs/>
          <w:color w:val="1A3A6B"/>
          <w:sz w:val="28"/>
          <w:szCs w:val="28"/>
        </w:rPr>
        <w:t xml:space="preserve">Topic 3.2 — Awareness, Training &amp; Education: Not the Same Thing</w:t>
      </w:r>
    </w:p>
    <w:p>
      <w:pPr>
        <w:spacing w:before="60" w:after="60"/>
      </w:pPr>
      <w:r>
        <w:rPr>
          <w:rFonts w:ascii="Arial" w:cs="Arial" w:eastAsia="Arial" w:hAnsi="Arial"/>
          <w:color w:val="374151"/>
          <w:sz w:val="20"/>
          <w:szCs w:val="20"/>
        </w:rPr>
        <w:t xml:space="preserve">The CISM exam expects you to know which approach is appropriate in which context. Using the wrong term or recommendation is a common mistake.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Goal</w:t>
            </w:r>
          </w:p>
        </w:tc>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Audience</w:t>
            </w:r>
          </w:p>
        </w:tc>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Example Activity</w:t>
            </w:r>
          </w:p>
        </w:tc>
      </w:tr>
      <w:tr>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Awareness</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Know that threats and risks EXIST</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All staff, general workforce</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Phishing simulation, security newsletter, screensaver messages</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Training</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Know HOW to perform specific secure tasks</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Role-specific groups (e.g. finance, developers)</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Secure coding course, GDPR handling procedure training</w:t>
            </w:r>
          </w:p>
        </w:tc>
      </w:tr>
      <w:tr>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Education</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Deep understanding of security principles</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Security professionals, IT staff</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CISM certification, degree programme, vendor training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6EFAC" w:sz="1"/>
              <w:left w:val="single" w:color="86EFAC" w:sz="1"/>
              <w:bottom w:val="single" w:color="86EFAC" w:sz="1"/>
              <w:right w:val="single" w:color="86EFAC" w:sz="1"/>
            </w:tcBorders>
            <w:shd w:fill="F0FDF4" w:val="clear"/>
            <w:tcMar>
              <w:top w:type="dxa" w:w="100"/>
              <w:left w:type="dxa" w:w="160"/>
              <w:bottom w:type="dxa" w:w="60"/>
              <w:right w:type="dxa" w:w="160"/>
            </w:tcMar>
          </w:tcPr>
          <w:p>
            <w:pPr>
              <w:spacing w:before="0" w:after="80"/>
            </w:pPr>
            <w:r>
              <w:rPr>
                <w:rFonts w:ascii="Arial" w:cs="Arial" w:eastAsia="Arial" w:hAnsi="Arial"/>
                <w:b/>
                <w:bCs/>
                <w:caps/>
                <w:color w:val="14532D"/>
                <w:sz w:val="18"/>
                <w:szCs w:val="18"/>
              </w:rPr>
              <w:t xml:space="preserve">KEY INSIGHT</w:t>
            </w:r>
          </w:p>
        </w:tc>
      </w:tr>
      <w:tr>
        <w:tc>
          <w:tcPr>
            <w:tcBorders>
              <w:top w:val="none" w:color="FFFFFF" w:sz="0"/>
              <w:left w:val="single" w:color="86EFAC" w:sz="1"/>
              <w:bottom w:val="none" w:color="FFFFFF" w:sz="0"/>
              <w:right w:val="single" w:color="86EFAC" w:sz="1"/>
            </w:tcBorders>
            <w:shd w:fill="F0FDF4"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When the exam asks how to measure the EFFECTIVENESS of an awareness programme, the answer is behavioural change — not completion rates.</w:t>
            </w:r>
          </w:p>
        </w:tc>
      </w:tr>
      <w:tr>
        <w:tc>
          <w:tcPr>
            <w:tcBorders>
              <w:top w:val="none" w:color="FFFFFF" w:sz="0"/>
              <w:left w:val="single" w:color="86EFAC" w:sz="1"/>
              <w:bottom w:val="none" w:color="FFFFFF" w:sz="0"/>
              <w:right w:val="single" w:color="86EFAC" w:sz="1"/>
            </w:tcBorders>
            <w:shd w:fill="F0FDF4"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A reduction in phishing click rates, fewer security incidents, and increased reporting of suspicious activity are all evidence of effectiveness.</w:t>
            </w:r>
          </w:p>
        </w:tc>
      </w:tr>
      <w:tr>
        <w:tc>
          <w:tcPr>
            <w:tcBorders>
              <w:top w:val="none" w:color="FFFFFF" w:sz="0"/>
              <w:left w:val="single" w:color="86EFAC" w:sz="1"/>
              <w:bottom w:val="none" w:color="FFFFFF" w:sz="0"/>
              <w:right w:val="single" w:color="86EFAC" w:sz="1"/>
            </w:tcBorders>
            <w:shd w:fill="F0FDF4"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Completion rates and policy acknowledgements only measure participation, not learning or behavioural change.</w:t>
            </w:r>
          </w:p>
        </w:tc>
      </w:tr>
      <w:tr>
        <w:tc>
          <w:tcPr>
            <w:tcBorders>
              <w:top w:val="none" w:color="FFFFFF" w:sz="0"/>
              <w:left w:val="single" w:color="86EFAC" w:sz="1"/>
              <w:bottom w:val="single" w:color="86EFAC" w:sz="1"/>
              <w:right w:val="single" w:color="86EFAC" w:sz="1"/>
            </w:tcBorders>
            <w:shd w:fill="F0FDF4" w:val="clear"/>
            <w:tcMar>
              <w:top w:type="dxa" w:w="60"/>
              <w:left w:type="dxa" w:w="160"/>
              <w:bottom w:type="dxa" w:w="0"/>
              <w:right w:type="dxa" w:w="160"/>
            </w:tcMar>
          </w:tcPr>
          <w:p>
            <w:pPr>
              <w:spacing w:before="0" w:after="0"/>
            </w:pPr>
            <w:r>
              <w:t xml:space="preserve"/>
            </w:r>
          </w:p>
        </w:tc>
      </w:tr>
    </w:tbl>
    <w:p>
      <w:pPr>
        <w:spacing w:before="120" w:after="0"/>
      </w:pPr>
      <w:r>
        <w:t xml:space="preserve"/>
      </w:r>
    </w:p>
    <w:p>
      <w:pPr>
        <w:pStyle w:val="Heading2"/>
        <w:spacing w:before="280" w:after="120"/>
      </w:pPr>
      <w:r>
        <w:rPr>
          <w:rFonts w:ascii="Arial" w:cs="Arial" w:eastAsia="Arial" w:hAnsi="Arial"/>
          <w:b/>
          <w:bCs/>
          <w:color w:val="1A3A6B"/>
          <w:sz w:val="28"/>
          <w:szCs w:val="28"/>
        </w:rPr>
        <w:t xml:space="preserve">Topic 3.3 — Vulnerability Scan vs Penetration Test: A Critical Distinction</w:t>
      </w:r>
    </w:p>
    <w:p>
      <w:pPr>
        <w:spacing w:before="60" w:after="60"/>
      </w:pPr>
      <w:r>
        <w:rPr>
          <w:rFonts w:ascii="Arial" w:cs="Arial" w:eastAsia="Arial" w:hAnsi="Arial"/>
          <w:color w:val="374151"/>
          <w:sz w:val="20"/>
          <w:szCs w:val="20"/>
        </w:rPr>
        <w:t xml:space="preserve">These two assessment techniques are frequently confused in exam questions. The key difference is not just technical — it affects what risk decisions can be made based on each.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VULNERABILITY SCAN</w:t>
            </w:r>
          </w:p>
        </w:tc>
        <w:tc>
          <w:tcPr>
            <w:tcW w:type="dxa" w:w="468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PENETRATION TEST</w:t>
            </w:r>
          </w:p>
        </w:tc>
      </w:tr>
      <w:tr>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Automated tool-based identification</w:t>
            </w:r>
          </w:p>
        </w:tc>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Manual simulation of a real attacker</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Identifies potential weaknesses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Confirms actual exploitability of weaknesses</w:t>
            </w:r>
          </w:p>
        </w:tc>
      </w:tr>
      <w:tr>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Low risk — non-destructive by design</w:t>
            </w:r>
          </w:p>
        </w:tc>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Higher risk — can disrupt systems if poorly scoped</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Fast, can cover large environments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Time-intensive, typically limited in scope</w:t>
            </w:r>
          </w:p>
        </w:tc>
      </w:tr>
      <w:tr>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Produces list of vulnerabilities by severity</w:t>
            </w:r>
          </w:p>
        </w:tc>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Produces evidence of exploitation, attack paths, business impact</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Can be run frequently (monthly/quarterly)</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Typically run annually or for major changes</w:t>
            </w:r>
          </w:p>
        </w:tc>
      </w:tr>
      <w:tr>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Does NOT confirm exploitability</w:t>
            </w:r>
          </w:p>
        </w:tc>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Explicitly confirms whether a flaw can be exploited</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Good for: continuous monitoring</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Good for: validating controls, compliance, high-risk systems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ECACA" w:sz="1"/>
              <w:left w:val="single" w:color="FECACA" w:sz="1"/>
              <w:bottom w:val="single" w:color="FECACA" w:sz="1"/>
              <w:right w:val="single" w:color="FECACA" w:sz="1"/>
            </w:tcBorders>
            <w:shd w:fill="FEF2F2" w:val="clear"/>
            <w:tcMar>
              <w:top w:type="dxa" w:w="100"/>
              <w:left w:type="dxa" w:w="160"/>
              <w:bottom w:type="dxa" w:w="60"/>
              <w:right w:type="dxa" w:w="160"/>
            </w:tcMar>
          </w:tcPr>
          <w:p>
            <w:pPr>
              <w:spacing w:before="0" w:after="80"/>
            </w:pPr>
            <w:r>
              <w:rPr>
                <w:rFonts w:ascii="Arial" w:cs="Arial" w:eastAsia="Arial" w:hAnsi="Arial"/>
                <w:b/>
                <w:bCs/>
                <w:caps/>
                <w:color w:val="991B1B"/>
                <w:sz w:val="18"/>
                <w:szCs w:val="18"/>
              </w:rPr>
              <w:t xml:space="preserve">EXAM TRAP</w:t>
            </w:r>
          </w:p>
        </w:tc>
      </w:tr>
      <w:tr>
        <w:tc>
          <w:tcPr>
            <w:tcBorders>
              <w:top w:val="none" w:color="FFFFFF" w:sz="0"/>
              <w:left w:val="single" w:color="FECACA" w:sz="1"/>
              <w:bottom w:val="none" w:color="FFFFFF" w:sz="0"/>
              <w:right w:val="single" w:color="FECACA" w:sz="1"/>
            </w:tcBorders>
            <w:shd w:fill="FEF2F2"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A vulnerability scan says a system 'may be vulnerable.' A penetration test says a system 'IS vulnerable and here is the proof.'</w:t>
            </w:r>
          </w:p>
        </w:tc>
      </w:tr>
      <w:tr>
        <w:tc>
          <w:tcPr>
            <w:tcBorders>
              <w:top w:val="none" w:color="FFFFFF" w:sz="0"/>
              <w:left w:val="single" w:color="FECACA" w:sz="1"/>
              <w:bottom w:val="none" w:color="FFFFFF" w:sz="0"/>
              <w:right w:val="single" w:color="FECACA" w:sz="1"/>
            </w:tcBorders>
            <w:shd w:fill="FEF2F2"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If the question asks how to CONFIRM that a vulnerability is exploitable, the answer is a penetration test — not a scan.</w:t>
            </w:r>
          </w:p>
        </w:tc>
      </w:tr>
      <w:tr>
        <w:tc>
          <w:tcPr>
            <w:tcBorders>
              <w:top w:val="none" w:color="FFFFFF" w:sz="0"/>
              <w:left w:val="single" w:color="FECACA" w:sz="1"/>
              <w:bottom w:val="none" w:color="FFFFFF" w:sz="0"/>
              <w:right w:val="single" w:color="FECACA" w:sz="1"/>
            </w:tcBorders>
            <w:shd w:fill="FEF2F2"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SOC 2 Type II reports and pen tests are different things. A clean pen test does not equal a SOC 2 Type II, and vice versa.</w:t>
            </w:r>
          </w:p>
        </w:tc>
      </w:tr>
      <w:tr>
        <w:tc>
          <w:tcPr>
            <w:tcBorders>
              <w:top w:val="none" w:color="FFFFFF" w:sz="0"/>
              <w:left w:val="single" w:color="FECACA" w:sz="1"/>
              <w:bottom w:val="single" w:color="FECACA" w:sz="1"/>
              <w:right w:val="single" w:color="FECACA" w:sz="1"/>
            </w:tcBorders>
            <w:shd w:fill="FEF2F2" w:val="clear"/>
            <w:tcMar>
              <w:top w:type="dxa" w:w="60"/>
              <w:left w:type="dxa" w:w="160"/>
              <w:bottom w:type="dxa" w:w="0"/>
              <w:right w:type="dxa" w:w="160"/>
            </w:tcMar>
          </w:tcPr>
          <w:p>
            <w:pPr>
              <w:spacing w:before="0" w:after="0"/>
            </w:pPr>
            <w:r>
              <w:t xml:space="preserve"/>
            </w:r>
          </w:p>
        </w:tc>
      </w:tr>
    </w:tbl>
    <w:p>
      <w:pPr>
        <w:spacing w:before="120" w:after="0"/>
      </w:pPr>
      <w:r>
        <w:t xml:space="preserve"/>
      </w:r>
    </w:p>
    <w:p>
      <w:pPr>
        <w:pStyle w:val="Heading2"/>
        <w:spacing w:before="280" w:after="120"/>
      </w:pPr>
      <w:r>
        <w:rPr>
          <w:rFonts w:ascii="Arial" w:cs="Arial" w:eastAsia="Arial" w:hAnsi="Arial"/>
          <w:b/>
          <w:bCs/>
          <w:color w:val="1A3A6B"/>
          <w:sz w:val="28"/>
          <w:szCs w:val="28"/>
        </w:rPr>
        <w:t xml:space="preserve">Topic 3.4 — Data Ownership and Classification Responsibilities</w:t>
      </w:r>
    </w:p>
    <w:p>
      <w:pPr>
        <w:spacing w:before="60" w:after="60"/>
      </w:pPr>
      <w:r>
        <w:rPr>
          <w:rFonts w:ascii="Arial" w:cs="Arial" w:eastAsia="Arial" w:hAnsi="Arial"/>
          <w:color w:val="374151"/>
          <w:sz w:val="20"/>
          <w:szCs w:val="20"/>
        </w:rPr>
        <w:t xml:space="preserve">Confusion about who is responsible for what in data governance leads to many incorrect answers. These roles have precise definitions in the CISM framework.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Role</w:t>
            </w:r>
          </w:p>
        </w:tc>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Primary Responsibility</w:t>
            </w:r>
          </w:p>
        </w:tc>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Classifies Data?</w:t>
            </w:r>
          </w:p>
        </w:tc>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Approves Access?</w:t>
            </w:r>
          </w:p>
        </w:tc>
      </w:tr>
      <w:tr>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Information Owner</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Accountable for the data's value and use</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YES — makes final classification decision</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YES — approves who can access data</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Data Custodian</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Implements and maintains protective controls</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No — follows owner's classification</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No — implements access controls as directed</w:t>
            </w:r>
          </w:p>
        </w:tc>
      </w:tr>
      <w:tr>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Data User</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Uses data appropriately within granted access</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No</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No</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CISO / CISM</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Provides policy guidance and oversight</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No — provides framework, not decisions</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No — advises on access control policies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DBFE" w:sz="1"/>
              <w:left w:val="single" w:color="BFDBFE" w:sz="1"/>
              <w:bottom w:val="single" w:color="BFDBFE" w:sz="1"/>
              <w:right w:val="single" w:color="BFDBFE" w:sz="1"/>
            </w:tcBorders>
            <w:shd w:fill="EFF6FF" w:val="clear"/>
            <w:tcMar>
              <w:top w:type="dxa" w:w="100"/>
              <w:left w:type="dxa" w:w="160"/>
              <w:bottom w:type="dxa" w:w="60"/>
              <w:right w:type="dxa" w:w="160"/>
            </w:tcMar>
          </w:tcPr>
          <w:p>
            <w:pPr>
              <w:spacing w:before="0" w:after="80"/>
            </w:pPr>
            <w:r>
              <w:rPr>
                <w:rFonts w:ascii="Arial" w:cs="Arial" w:eastAsia="Arial" w:hAnsi="Arial"/>
                <w:b/>
                <w:bCs/>
                <w:caps/>
                <w:color w:val="1A3A6B"/>
                <w:sz w:val="18"/>
                <w:szCs w:val="18"/>
              </w:rPr>
              <w:t xml:space="preserve">MEMORY ANCHOR</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Owner = Accountable (the business person who 'owns' the data, e.g. HR Director owns employee records)</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Custodian = Responsible (the IT person who stores and protects it, e.g. DBA, IT operations)</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Owner classifies → Custodian protects → User accesses → CISM oversees the framework</w:t>
            </w:r>
          </w:p>
        </w:tc>
      </w:tr>
      <w:tr>
        <w:tc>
          <w:tcPr>
            <w:tcBorders>
              <w:top w:val="none" w:color="FFFFFF" w:sz="0"/>
              <w:left w:val="single" w:color="BFDBFE" w:sz="1"/>
              <w:bottom w:val="single" w:color="BFDBFE" w:sz="1"/>
              <w:right w:val="single" w:color="BFDBFE" w:sz="1"/>
            </w:tcBorders>
            <w:shd w:fill="EFF6FF" w:val="clear"/>
            <w:tcMar>
              <w:top w:type="dxa" w:w="60"/>
              <w:left w:type="dxa" w:w="160"/>
              <w:bottom w:type="dxa" w:w="0"/>
              <w:right w:type="dxa" w:w="160"/>
            </w:tcMar>
          </w:tcPr>
          <w:p>
            <w:pPr>
              <w:spacing w:before="0" w:after="0"/>
            </w:pPr>
            <w:r>
              <w:t xml:space="preserve"/>
            </w:r>
          </w:p>
        </w:tc>
      </w:tr>
    </w:tbl>
    <w:p>
      <w:r>
        <w:br w:type="page"/>
      </w:r>
    </w:p>
    <w:p>
      <w:pPr>
        <w:pStyle w:val="Heading1"/>
        <w:pBdr>
          <w:bottom w:val="single" w:color="1A3A6B" w:sz="8" w:space="6"/>
        </w:pBdr>
        <w:spacing w:before="360" w:after="160"/>
      </w:pPr>
      <w:r>
        <w:rPr>
          <w:rFonts w:ascii="Arial" w:cs="Arial" w:eastAsia="Arial" w:hAnsi="Arial"/>
          <w:b/>
          <w:bCs/>
          <w:color w:val="1A3A6B"/>
          <w:sz w:val="36"/>
          <w:szCs w:val="36"/>
        </w:rPr>
        <w:t xml:space="preserve">Domain 4 · Incident Management</w:t>
      </w:r>
    </w:p>
    <w:p>
      <w:pPr>
        <w:pStyle w:val="Heading2"/>
        <w:spacing w:before="280" w:after="120"/>
      </w:pPr>
      <w:r>
        <w:rPr>
          <w:rFonts w:ascii="Arial" w:cs="Arial" w:eastAsia="Arial" w:hAnsi="Arial"/>
          <w:b/>
          <w:bCs/>
          <w:color w:val="1A3A6B"/>
          <w:sz w:val="28"/>
          <w:szCs w:val="28"/>
        </w:rPr>
        <w:t xml:space="preserve">Topic 4.1 — RTO, RPO, MTD and WRT: The Recovery Objective Matrix</w:t>
      </w:r>
    </w:p>
    <w:p>
      <w:pPr>
        <w:spacing w:before="60" w:after="60"/>
      </w:pPr>
      <w:r>
        <w:rPr>
          <w:rFonts w:ascii="Arial" w:cs="Arial" w:eastAsia="Arial" w:hAnsi="Arial"/>
          <w:color w:val="374151"/>
          <w:sz w:val="20"/>
          <w:szCs w:val="20"/>
        </w:rPr>
        <w:t xml:space="preserve">Recovery objectives are a high-frequency exam topic and the relationships between them are tested explicitly. Getting the definitions and relationships exactly right is essential.</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EFF6FF" w:val="clear"/>
            <w:tcMar>
              <w:top w:type="dxa" w:w="100"/>
              <w:left w:type="dxa" w:w="200"/>
              <w:bottom w:type="dxa" w:w="100"/>
              <w:right w:type="dxa" w:w="200"/>
            </w:tcMar>
          </w:tcPr>
          <w:p>
            <w:pPr>
              <w:spacing w:before="40" w:after="40"/>
              <w:jc w:val="center"/>
            </w:pPr>
            <w:r>
              <w:rPr>
                <w:rFonts w:ascii="Courier New" w:cs="Courier New" w:eastAsia="Courier New" w:hAnsi="Courier New"/>
                <w:b/>
                <w:bCs/>
                <w:color w:val="1E40AF"/>
                <w:sz w:val="24"/>
                <w:szCs w:val="24"/>
              </w:rPr>
              <w:t xml:space="preserve">RTO  +  WRT  ≤  MTD</w:t>
            </w:r>
          </w:p>
          <w:p>
            <w:pPr>
              <w:spacing w:before="0" w:after="40"/>
              <w:jc w:val="center"/>
            </w:pPr>
            <w:r>
              <w:rPr>
                <w:rFonts w:ascii="Arial" w:cs="Arial" w:eastAsia="Arial" w:hAnsi="Arial"/>
                <w:i/>
                <w:iCs/>
                <w:color w:val="374151"/>
                <w:sz w:val="18"/>
                <w:szCs w:val="18"/>
              </w:rPr>
              <w:t xml:space="preserve">This inequality MUST hold. If it doesn't, the recovery plan will exceed the maximum tolerable downtime.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Acronym</w:t>
            </w:r>
          </w:p>
        </w:tc>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Full Name</w:t>
            </w:r>
          </w:p>
        </w:tc>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Definition</w:t>
            </w:r>
          </w:p>
        </w:tc>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Drives Decision On</w:t>
            </w:r>
          </w:p>
        </w:tc>
      </w:tr>
      <w:tr>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RTO</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Recovery Time Objective</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Maximum time a system can be DOWN before causing unacceptable business impact</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Recovery site type, failover speed, staffing</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RPO</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Recovery Point Objective</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Maximum amount of DATA LOSS tolerable, measured in time since last backup</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Backup frequency, replication method</w:t>
            </w:r>
          </w:p>
        </w:tc>
      </w:tr>
      <w:tr>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MTD</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Maximum Tolerable Downtime</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The absolute MAXIMUM time a process can be disrupted before causing irreversible harm</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The outer boundary that RTO + WRT must not exceed</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WRT</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Work Recovery Time</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Time to restore DATA and APPLICATION after systems are back online (post-failover recovery)</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Total recovery timeline planning</w:t>
            </w:r>
          </w:p>
        </w:tc>
      </w:tr>
      <w:tr>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SD</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Service Delivery Objective</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The minimum level of service required during a disruption</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Business continuity procedures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DE68A" w:sz="1"/>
              <w:left w:val="single" w:color="FDE68A" w:sz="1"/>
              <w:bottom w:val="single" w:color="FDE68A" w:sz="1"/>
              <w:right w:val="single" w:color="FDE68A" w:sz="1"/>
            </w:tcBorders>
            <w:shd w:fill="FFFBEB" w:val="clear"/>
            <w:tcMar>
              <w:top w:type="dxa" w:w="100"/>
              <w:left w:type="dxa" w:w="160"/>
              <w:bottom w:type="dxa" w:w="60"/>
              <w:right w:type="dxa" w:w="160"/>
            </w:tcMar>
          </w:tcPr>
          <w:p>
            <w:pPr>
              <w:spacing w:before="0" w:after="80"/>
            </w:pPr>
            <w:r>
              <w:rPr>
                <w:rFonts w:ascii="Arial" w:cs="Arial" w:eastAsia="Arial" w:hAnsi="Arial"/>
                <w:b/>
                <w:bCs/>
                <w:caps/>
                <w:color w:val="92400E"/>
                <w:sz w:val="18"/>
                <w:szCs w:val="18"/>
              </w:rPr>
              <w:t xml:space="preserve">WORKED EXAMPLE: Does this plan work?</w:t>
            </w:r>
          </w:p>
        </w:tc>
      </w:tr>
      <w:tr>
        <w:tc>
          <w:tcPr>
            <w:tcBorders>
              <w:top w:val="none" w:color="FFFFFF" w:sz="0"/>
              <w:left w:val="single" w:color="FDE68A" w:sz="1"/>
              <w:bottom w:val="none" w:color="FFFFFF" w:sz="0"/>
              <w:right w:val="single" w:color="FDE68A" w:sz="1"/>
            </w:tcBorders>
            <w:shd w:fill="FFFBEB"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The BIA states: MTD = 8 hours (absolute maximum)</w:t>
            </w:r>
          </w:p>
        </w:tc>
      </w:tr>
      <w:tr>
        <w:tc>
          <w:tcPr>
            <w:tcBorders>
              <w:top w:val="none" w:color="FFFFFF" w:sz="0"/>
              <w:left w:val="single" w:color="FDE68A" w:sz="1"/>
              <w:bottom w:val="none" w:color="FFFFFF" w:sz="0"/>
              <w:right w:val="single" w:color="FDE68A" w:sz="1"/>
            </w:tcBorders>
            <w:shd w:fill="FFFBEB"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The DRP states: RTO = 6 hours (to get systems back online)</w:t>
            </w:r>
          </w:p>
        </w:tc>
      </w:tr>
      <w:tr>
        <w:tc>
          <w:tcPr>
            <w:tcBorders>
              <w:top w:val="none" w:color="FFFFFF" w:sz="0"/>
              <w:left w:val="single" w:color="FDE68A" w:sz="1"/>
              <w:bottom w:val="none" w:color="FFFFFF" w:sz="0"/>
              <w:right w:val="single" w:color="FDE68A" w:sz="1"/>
            </w:tcBorders>
            <w:shd w:fill="FFFBEB"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Post-recovery data restoration: WRT = 3 hours</w:t>
            </w:r>
          </w:p>
        </w:tc>
      </w:tr>
      <w:tr>
        <w:tc>
          <w:tcPr>
            <w:tcBorders>
              <w:top w:val="none" w:color="FFFFFF" w:sz="0"/>
              <w:left w:val="single" w:color="FDE68A" w:sz="1"/>
              <w:bottom w:val="none" w:color="FFFFFF" w:sz="0"/>
              <w:right w:val="single" w:color="FDE68A" w:sz="1"/>
            </w:tcBorders>
            <w:shd w:fill="FFFBEB"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Check: RTO + WRT = 6 + 3 = 9 hours</w:t>
            </w:r>
          </w:p>
        </w:tc>
      </w:tr>
      <w:tr>
        <w:tc>
          <w:tcPr>
            <w:tcBorders>
              <w:top w:val="none" w:color="FFFFFF" w:sz="0"/>
              <w:left w:val="single" w:color="FDE68A" w:sz="1"/>
              <w:bottom w:val="none" w:color="FFFFFF" w:sz="0"/>
              <w:right w:val="single" w:color="FDE68A" w:sz="1"/>
            </w:tcBorders>
            <w:shd w:fill="FFFBEB"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9 hours &gt; 8 hours (MTD)  →  PLAN FAILS. The RTO must be reduced.</w:t>
            </w:r>
          </w:p>
        </w:tc>
      </w:tr>
      <w:tr>
        <w:tc>
          <w:tcPr>
            <w:tcBorders>
              <w:top w:val="none" w:color="FFFFFF" w:sz="0"/>
              <w:left w:val="single" w:color="FDE68A" w:sz="1"/>
              <w:bottom w:val="single" w:color="FDE68A" w:sz="1"/>
              <w:right w:val="single" w:color="FDE68A" w:sz="1"/>
            </w:tcBorders>
            <w:shd w:fill="FFFBEB" w:val="clear"/>
            <w:tcMar>
              <w:top w:type="dxa" w:w="60"/>
              <w:left w:type="dxa" w:w="160"/>
              <w:bottom w:type="dxa" w:w="0"/>
              <w:right w:type="dxa" w:w="160"/>
            </w:tcMar>
          </w:tcPr>
          <w:p>
            <w:pPr>
              <w:spacing w:before="0" w:after="0"/>
            </w:pPr>
            <w:r>
              <w:t xml:space="preserve"/>
            </w:r>
          </w:p>
        </w:tc>
      </w:tr>
    </w:tbl>
    <w:p>
      <w:pPr>
        <w:spacing w:before="120" w:after="0"/>
      </w:pPr>
      <w:r>
        <w:t xml:space="preserve"/>
      </w:r>
    </w:p>
    <w:p>
      <w:pPr>
        <w:pStyle w:val="Heading2"/>
        <w:spacing w:before="280" w:after="120"/>
      </w:pPr>
      <w:r>
        <w:rPr>
          <w:rFonts w:ascii="Arial" w:cs="Arial" w:eastAsia="Arial" w:hAnsi="Arial"/>
          <w:b/>
          <w:bCs/>
          <w:color w:val="1A3A6B"/>
          <w:sz w:val="28"/>
          <w:szCs w:val="28"/>
        </w:rPr>
        <w:t xml:space="preserve">Topic 4.2 — BCP vs DRP: Hierarchy and Scope</w:t>
      </w:r>
    </w:p>
    <w:p>
      <w:pPr>
        <w:spacing w:before="60" w:after="60"/>
      </w:pPr>
      <w:r>
        <w:rPr>
          <w:rFonts w:ascii="Arial" w:cs="Arial" w:eastAsia="Arial" w:hAnsi="Arial"/>
          <w:color w:val="374151"/>
          <w:sz w:val="20"/>
          <w:szCs w:val="20"/>
        </w:rPr>
        <w:t xml:space="preserve">Candidates often treat BCP and DRP as interchangeable. They are not. Understanding the hierarchy prevents errors in questions about which plan governs which decision.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CONTINUITY PLAN (BCP)</w:t>
            </w:r>
          </w:p>
        </w:tc>
        <w:tc>
          <w:tcPr>
            <w:tcW w:type="dxa" w:w="4680"/>
            <w:tcBorders>
              <w:top w:val="single" w:color="2563EB" w:sz="1"/>
              <w:left w:val="single" w:color="2563EB" w:sz="1"/>
              <w:bottom w:val="single" w:color="2563EB" w:sz="1"/>
              <w:right w:val="single" w:color="2563EB" w:sz="1"/>
            </w:tcBorders>
            <w:shd w:fill="DBEAFE" w:val="clear"/>
            <w:tcMar>
              <w:top w:type="dxa" w:w="80"/>
              <w:left w:type="dxa" w:w="120"/>
              <w:bottom w:type="dxa" w:w="80"/>
              <w:right w:type="dxa" w:w="120"/>
            </w:tcMar>
          </w:tcPr>
          <w:p>
            <w:pPr>
              <w:jc w:val="center"/>
            </w:pPr>
            <w:r>
              <w:rPr>
                <w:rFonts w:ascii="Arial" w:cs="Arial" w:eastAsia="Arial" w:hAnsi="Arial"/>
                <w:b/>
                <w:bCs/>
                <w:color w:val="1A3A6B"/>
                <w:sz w:val="20"/>
                <w:szCs w:val="20"/>
              </w:rPr>
              <w:t xml:space="preserve">DISASTER RECOVERY PLAN (DRP)</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374151"/>
                <w:sz w:val="19"/>
                <w:szCs w:val="19"/>
              </w:rPr>
              <w:t xml:space="preserve">Scope: entire BUSINESS operations</w:t>
            </w:r>
          </w:p>
          <w:p>
            <w:pPr>
              <w:pStyle w:val="ListParagraph"/>
              <w:numPr>
                <w:ilvl w:val="0"/>
                <w:numId w:val="2"/>
              </w:numPr>
              <w:spacing w:before="20" w:after="20"/>
            </w:pPr>
            <w:r>
              <w:rPr>
                <w:rFonts w:ascii="Arial" w:cs="Arial" w:eastAsia="Arial" w:hAnsi="Arial"/>
                <w:color w:val="374151"/>
                <w:sz w:val="19"/>
                <w:szCs w:val="19"/>
              </w:rPr>
              <w:t xml:space="preserve">Goal: keep the BUSINESS running during disruption</w:t>
            </w:r>
          </w:p>
          <w:p>
            <w:pPr>
              <w:pStyle w:val="ListParagraph"/>
              <w:numPr>
                <w:ilvl w:val="0"/>
                <w:numId w:val="2"/>
              </w:numPr>
              <w:spacing w:before="20" w:after="20"/>
            </w:pPr>
            <w:r>
              <w:rPr>
                <w:rFonts w:ascii="Arial" w:cs="Arial" w:eastAsia="Arial" w:hAnsi="Arial"/>
                <w:color w:val="374151"/>
                <w:sz w:val="19"/>
                <w:szCs w:val="19"/>
              </w:rPr>
              <w:t xml:space="preserve">Covers: people, processes, facilities, communications</w:t>
            </w:r>
          </w:p>
          <w:p>
            <w:pPr>
              <w:pStyle w:val="ListParagraph"/>
              <w:numPr>
                <w:ilvl w:val="0"/>
                <w:numId w:val="2"/>
              </w:numPr>
              <w:spacing w:before="20" w:after="20"/>
            </w:pPr>
            <w:r>
              <w:rPr>
                <w:rFonts w:ascii="Arial" w:cs="Arial" w:eastAsia="Arial" w:hAnsi="Arial"/>
                <w:b/>
                <w:bCs/>
                <w:color w:val="374151"/>
                <w:sz w:val="19"/>
                <w:szCs w:val="19"/>
              </w:rPr>
              <w:t xml:space="preserve">DRP is a COMPONENT of the BCP</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pStyle w:val="ListParagraph"/>
              <w:numPr>
                <w:ilvl w:val="0"/>
                <w:numId w:val="3"/>
              </w:numPr>
              <w:spacing w:before="20" w:after="20"/>
            </w:pPr>
            <w:r>
              <w:rPr>
                <w:rFonts w:ascii="Arial" w:cs="Arial" w:eastAsia="Arial" w:hAnsi="Arial"/>
                <w:color w:val="374151"/>
                <w:sz w:val="19"/>
                <w:szCs w:val="19"/>
              </w:rPr>
              <w:t xml:space="preserve">Scope: IT SYSTEMS and technology infrastructure</w:t>
            </w:r>
          </w:p>
          <w:p>
            <w:pPr>
              <w:pStyle w:val="ListParagraph"/>
              <w:numPr>
                <w:ilvl w:val="0"/>
                <w:numId w:val="3"/>
              </w:numPr>
              <w:spacing w:before="20" w:after="20"/>
            </w:pPr>
            <w:r>
              <w:rPr>
                <w:rFonts w:ascii="Arial" w:cs="Arial" w:eastAsia="Arial" w:hAnsi="Arial"/>
                <w:color w:val="374151"/>
                <w:sz w:val="19"/>
                <w:szCs w:val="19"/>
              </w:rPr>
              <w:t xml:space="preserve">Goal: restore IT systems and data after an incident</w:t>
            </w:r>
          </w:p>
          <w:p>
            <w:pPr>
              <w:pStyle w:val="ListParagraph"/>
              <w:numPr>
                <w:ilvl w:val="0"/>
                <w:numId w:val="3"/>
              </w:numPr>
              <w:spacing w:before="20" w:after="20"/>
            </w:pPr>
            <w:r>
              <w:rPr>
                <w:rFonts w:ascii="Arial" w:cs="Arial" w:eastAsia="Arial" w:hAnsi="Arial"/>
                <w:color w:val="374151"/>
                <w:sz w:val="19"/>
                <w:szCs w:val="19"/>
              </w:rPr>
              <w:t xml:space="preserve">Covers: servers, applications, data, networks</w:t>
            </w:r>
          </w:p>
          <w:p>
            <w:pPr>
              <w:pStyle w:val="ListParagraph"/>
              <w:numPr>
                <w:ilvl w:val="0"/>
                <w:numId w:val="3"/>
              </w:numPr>
              <w:spacing w:before="20" w:after="20"/>
            </w:pPr>
            <w:r>
              <w:rPr>
                <w:rFonts w:ascii="Arial" w:cs="Arial" w:eastAsia="Arial" w:hAnsi="Arial"/>
                <w:color w:val="374151"/>
                <w:sz w:val="19"/>
                <w:szCs w:val="19"/>
              </w:rPr>
              <w:t xml:space="preserve">Focused on technology recovery, not full business ops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DBFE" w:sz="1"/>
              <w:left w:val="single" w:color="BFDBFE" w:sz="1"/>
              <w:bottom w:val="single" w:color="BFDBFE" w:sz="1"/>
              <w:right w:val="single" w:color="BFDBFE" w:sz="1"/>
            </w:tcBorders>
            <w:shd w:fill="EFF6FF" w:val="clear"/>
            <w:tcMar>
              <w:top w:type="dxa" w:w="100"/>
              <w:left w:type="dxa" w:w="160"/>
              <w:bottom w:type="dxa" w:w="60"/>
              <w:right w:type="dxa" w:w="160"/>
            </w:tcMar>
          </w:tcPr>
          <w:p>
            <w:pPr>
              <w:spacing w:before="0" w:after="80"/>
            </w:pPr>
            <w:r>
              <w:rPr>
                <w:rFonts w:ascii="Arial" w:cs="Arial" w:eastAsia="Arial" w:hAnsi="Arial"/>
                <w:b/>
                <w:bCs/>
                <w:caps/>
                <w:color w:val="1A3A6B"/>
                <w:sz w:val="18"/>
                <w:szCs w:val="18"/>
              </w:rPr>
              <w:t xml:space="preserve">CRITICAL SEQUENCE</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1. Business Impact Analysis (BIA) — MUST come first. Identifies critical processes and tolerable downtime.</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2. Risk Assessment — identifies threats to those critical processes</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3. Business Continuity Plan (BCP) — developed based on BIA findings</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4. Disaster Recovery Plan (DRP) — developed as a subset of the BCP</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5. Testing — tabletop first, then parallel, then full interruption</w:t>
            </w:r>
          </w:p>
        </w:tc>
      </w:tr>
      <w:tr>
        <w:tc>
          <w:tcPr>
            <w:tcBorders>
              <w:top w:val="none" w:color="FFFFFF" w:sz="0"/>
              <w:left w:val="single" w:color="BFDBFE" w:sz="1"/>
              <w:bottom w:val="single" w:color="BFDBFE" w:sz="1"/>
              <w:right w:val="single" w:color="BFDBFE" w:sz="1"/>
            </w:tcBorders>
            <w:shd w:fill="EFF6FF" w:val="clear"/>
            <w:tcMar>
              <w:top w:type="dxa" w:w="60"/>
              <w:left w:type="dxa" w:w="160"/>
              <w:bottom w:type="dxa" w:w="0"/>
              <w:right w:type="dxa" w:w="160"/>
            </w:tcMar>
          </w:tcPr>
          <w:p>
            <w:pPr>
              <w:spacing w:before="0" w:after="0"/>
            </w:pPr>
            <w:r>
              <w:t xml:space="preserve"/>
            </w:r>
          </w:p>
        </w:tc>
      </w:tr>
    </w:tbl>
    <w:p>
      <w:pPr>
        <w:spacing w:before="120" w:after="0"/>
      </w:pPr>
      <w:r>
        <w:t xml:space="preserve"/>
      </w:r>
    </w:p>
    <w:p>
      <w:pPr>
        <w:pStyle w:val="Heading2"/>
        <w:spacing w:before="280" w:after="120"/>
      </w:pPr>
      <w:r>
        <w:rPr>
          <w:rFonts w:ascii="Arial" w:cs="Arial" w:eastAsia="Arial" w:hAnsi="Arial"/>
          <w:b/>
          <w:bCs/>
          <w:color w:val="1A3A6B"/>
          <w:sz w:val="28"/>
          <w:szCs w:val="28"/>
        </w:rPr>
        <w:t xml:space="preserve">Topic 4.3 — DR Testing Types: Knowing When to Use Each</w:t>
      </w:r>
    </w:p>
    <w:p>
      <w:pPr>
        <w:spacing w:before="60" w:after="60"/>
      </w:pPr>
      <w:r>
        <w:rPr>
          <w:rFonts w:ascii="Arial" w:cs="Arial" w:eastAsia="Arial" w:hAnsi="Arial"/>
          <w:color w:val="374151"/>
          <w:sz w:val="20"/>
          <w:szCs w:val="20"/>
        </w:rPr>
        <w:t xml:space="preserve">The exam presents scenarios and asks which test type is most appropriate. The key factors are: level of assurance needed, risk tolerance, and operational disruption.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Test Type</w:t>
            </w:r>
          </w:p>
        </w:tc>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What It Involves</w:t>
            </w:r>
          </w:p>
        </w:tc>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Disruption Level</w:t>
            </w:r>
          </w:p>
        </w:tc>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Best For</w:t>
            </w:r>
          </w:p>
        </w:tc>
      </w:tr>
      <w:tr>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Checklist / Desk Review</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Review the plan document for accuracy and completeness</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None</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Initial validation; verifying plan is current</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Tabletop Exercise</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Discussion-based walkthrough of a scenario with key stakeholders</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Very Low</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Training, identifying gaps, testing decision-making</w:t>
            </w:r>
          </w:p>
        </w:tc>
      </w:tr>
      <w:tr>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Simulation</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Act out response to a scenario without actual system failover</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Low</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Training response team; testing communications</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Parallel Test</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Run DR site alongside production; both operational simultaneously</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Low–Medium</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Validating DR site works without risking production</w:t>
            </w:r>
          </w:p>
        </w:tc>
      </w:tr>
      <w:tr>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Full Interruption</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Cut over entirely to DR site; production taken offline</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HIGH</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Full validation; highest assurance but real risk</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ECACA" w:sz="1"/>
              <w:left w:val="single" w:color="FECACA" w:sz="1"/>
              <w:bottom w:val="single" w:color="FECACA" w:sz="1"/>
              <w:right w:val="single" w:color="FECACA" w:sz="1"/>
            </w:tcBorders>
            <w:shd w:fill="FEF2F2" w:val="clear"/>
            <w:tcMar>
              <w:top w:type="dxa" w:w="100"/>
              <w:left w:type="dxa" w:w="160"/>
              <w:bottom w:type="dxa" w:w="60"/>
              <w:right w:type="dxa" w:w="160"/>
            </w:tcMar>
          </w:tcPr>
          <w:p>
            <w:pPr>
              <w:spacing w:before="0" w:after="80"/>
            </w:pPr>
            <w:r>
              <w:rPr>
                <w:rFonts w:ascii="Arial" w:cs="Arial" w:eastAsia="Arial" w:hAnsi="Arial"/>
                <w:b/>
                <w:bCs/>
                <w:caps/>
                <w:color w:val="991B1B"/>
                <w:sz w:val="18"/>
                <w:szCs w:val="18"/>
              </w:rPr>
              <w:t xml:space="preserve">EXAM TRAP</w:t>
            </w:r>
          </w:p>
        </w:tc>
      </w:tr>
      <w:tr>
        <w:tc>
          <w:tcPr>
            <w:tcBorders>
              <w:top w:val="none" w:color="FFFFFF" w:sz="0"/>
              <w:left w:val="single" w:color="FECACA" w:sz="1"/>
              <w:bottom w:val="none" w:color="FFFFFF" w:sz="0"/>
              <w:right w:val="single" w:color="FECACA" w:sz="1"/>
            </w:tcBorders>
            <w:shd w:fill="FEF2F2"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A tabletop exercise is NOT a full test of DR capabilities — it only tests decision-making and communication, not technical recovery.</w:t>
            </w:r>
          </w:p>
        </w:tc>
      </w:tr>
      <w:tr>
        <w:tc>
          <w:tcPr>
            <w:tcBorders>
              <w:top w:val="none" w:color="FFFFFF" w:sz="0"/>
              <w:left w:val="single" w:color="FECACA" w:sz="1"/>
              <w:bottom w:val="none" w:color="FFFFFF" w:sz="0"/>
              <w:right w:val="single" w:color="FECACA" w:sz="1"/>
            </w:tcBorders>
            <w:shd w:fill="FEF2F2"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The MOST thorough test is FULL INTERRUPTION — but the exam may describe a situation where this is inappropriate due to business risk.</w:t>
            </w:r>
          </w:p>
        </w:tc>
      </w:tr>
      <w:tr>
        <w:tc>
          <w:tcPr>
            <w:tcBorders>
              <w:top w:val="none" w:color="FFFFFF" w:sz="0"/>
              <w:left w:val="single" w:color="FECACA" w:sz="1"/>
              <w:bottom w:val="none" w:color="FFFFFF" w:sz="0"/>
              <w:right w:val="single" w:color="FECACA" w:sz="1"/>
            </w:tcBorders>
            <w:shd w:fill="FEF2F2"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If asked 'what test provides the highest assurance?' — full interruption. If asked 'what test is appropriate with minimal disruption?' — tabletop or parallel.</w:t>
            </w:r>
          </w:p>
        </w:tc>
      </w:tr>
      <w:tr>
        <w:tc>
          <w:tcPr>
            <w:tcBorders>
              <w:top w:val="none" w:color="FFFFFF" w:sz="0"/>
              <w:left w:val="single" w:color="FECACA" w:sz="1"/>
              <w:bottom w:val="single" w:color="FECACA" w:sz="1"/>
              <w:right w:val="single" w:color="FECACA" w:sz="1"/>
            </w:tcBorders>
            <w:shd w:fill="FEF2F2" w:val="clear"/>
            <w:tcMar>
              <w:top w:type="dxa" w:w="60"/>
              <w:left w:type="dxa" w:w="160"/>
              <w:bottom w:type="dxa" w:w="0"/>
              <w:right w:type="dxa" w:w="160"/>
            </w:tcMar>
          </w:tcPr>
          <w:p>
            <w:pPr>
              <w:spacing w:before="0" w:after="0"/>
            </w:pPr>
            <w:r>
              <w:t xml:space="preserve"/>
            </w:r>
          </w:p>
        </w:tc>
      </w:tr>
    </w:tbl>
    <w:p>
      <w:pPr>
        <w:spacing w:before="120" w:after="0"/>
      </w:pPr>
      <w:r>
        <w:t xml:space="preserve"/>
      </w:r>
    </w:p>
    <w:p>
      <w:pPr>
        <w:pStyle w:val="Heading2"/>
        <w:spacing w:before="280" w:after="120"/>
      </w:pPr>
      <w:r>
        <w:rPr>
          <w:rFonts w:ascii="Arial" w:cs="Arial" w:eastAsia="Arial" w:hAnsi="Arial"/>
          <w:b/>
          <w:bCs/>
          <w:color w:val="1A3A6B"/>
          <w:sz w:val="28"/>
          <w:szCs w:val="28"/>
        </w:rPr>
        <w:t xml:space="preserve">Topic 4.4 — Incident Response Phases: Order Matters</w:t>
      </w:r>
    </w:p>
    <w:p>
      <w:pPr>
        <w:spacing w:before="60" w:after="60"/>
      </w:pPr>
      <w:r>
        <w:rPr>
          <w:rFonts w:ascii="Arial" w:cs="Arial" w:eastAsia="Arial" w:hAnsi="Arial"/>
          <w:color w:val="374151"/>
          <w:sz w:val="20"/>
          <w:szCs w:val="20"/>
        </w:rPr>
        <w:t xml:space="preserve">The incident response lifecycle phases must be executed in the correct order. Attempting recovery before eradication, or eradication before containment, is a critical error both operationally and in exam answers.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Key Actions</w:t>
            </w:r>
          </w:p>
        </w:tc>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Common Mistakes</w:t>
            </w:r>
          </w:p>
        </w:tc>
        <w:tc>
          <w:tcPr>
            <w:tcW w:type="dxa" w:w="234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CISM Focus</w:t>
            </w:r>
          </w:p>
        </w:tc>
      </w:tr>
      <w:tr>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1. Preparation</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Build IRP, train team, deploy tools, establish contacts</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Skipping this; having no plan before incident</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Ensure IRP exists and is tested BEFORE incidents</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2. Detection &amp; Analysis</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Identify the incident; confirm it is real; classify severity</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Acting on unconfirmed incidents; misclassifying scope</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Ensure detection tools and triage processes are in place</w:t>
            </w:r>
          </w:p>
        </w:tc>
      </w:tr>
      <w:tr>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3. Containment</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STOP THE SPREAD — isolate affected systems immediately</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Jumping to eradication before containing; delaying containment</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ALWAYS before eradication — this is the most tested error</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4. Eradication</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Remove malware, close attack vector, patch vulnerability</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Eradicating without understanding root cause (reinfection risk)</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Root cause must be understood before eradication</w:t>
            </w:r>
          </w:p>
        </w:tc>
      </w:tr>
      <w:tr>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5. Recovery</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Restore systems; verify functionality; return to operations</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Rushing recovery; not validating systems are clean</w:t>
            </w:r>
          </w:p>
        </w:tc>
        <w:tc>
          <w:tcPr>
            <w:tcW w:type="dxa" w:w="23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Validate before going live; monitor closely post-recovery</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6. Lessons Learned</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Post-incident review; update IRP, controls, training</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Skipping PIR; blame culture; not updating plans</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Blameless; within 2 weeks; update all relevant plans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ECACA" w:sz="1"/>
              <w:left w:val="single" w:color="FECACA" w:sz="1"/>
              <w:bottom w:val="single" w:color="FECACA" w:sz="1"/>
              <w:right w:val="single" w:color="FECACA" w:sz="1"/>
            </w:tcBorders>
            <w:shd w:fill="FEF2F2" w:val="clear"/>
            <w:tcMar>
              <w:top w:type="dxa" w:w="100"/>
              <w:left w:type="dxa" w:w="160"/>
              <w:bottom w:type="dxa" w:w="60"/>
              <w:right w:type="dxa" w:w="160"/>
            </w:tcMar>
          </w:tcPr>
          <w:p>
            <w:pPr>
              <w:spacing w:before="0" w:after="80"/>
            </w:pPr>
            <w:r>
              <w:rPr>
                <w:rFonts w:ascii="Arial" w:cs="Arial" w:eastAsia="Arial" w:hAnsi="Arial"/>
                <w:b/>
                <w:bCs/>
                <w:caps/>
                <w:color w:val="991B1B"/>
                <w:sz w:val="18"/>
                <w:szCs w:val="18"/>
              </w:rPr>
              <w:t xml:space="preserve">THE MOST TESTED ERROR IN DOMAIN 4</w:t>
            </w:r>
          </w:p>
        </w:tc>
      </w:tr>
      <w:tr>
        <w:tc>
          <w:tcPr>
            <w:tcBorders>
              <w:top w:val="none" w:color="FFFFFF" w:sz="0"/>
              <w:left w:val="single" w:color="FECACA" w:sz="1"/>
              <w:bottom w:val="none" w:color="FFFFFF" w:sz="0"/>
              <w:right w:val="single" w:color="FECACA" w:sz="1"/>
            </w:tcBorders>
            <w:shd w:fill="FEF2F2"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Jumping straight from Detection to Eradication, skipping Containment.</w:t>
            </w:r>
          </w:p>
        </w:tc>
      </w:tr>
      <w:tr>
        <w:tc>
          <w:tcPr>
            <w:tcBorders>
              <w:top w:val="none" w:color="FFFFFF" w:sz="0"/>
              <w:left w:val="single" w:color="FECACA" w:sz="1"/>
              <w:bottom w:val="none" w:color="FFFFFF" w:sz="0"/>
              <w:right w:val="single" w:color="FECACA" w:sz="1"/>
            </w:tcBorders>
            <w:shd w:fill="FEF2F2"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In an active ransomware scenario: CONTAIN FIRST (isolate systems from network) then eradicate (remove malware) then recover (restore from backup).</w:t>
            </w:r>
          </w:p>
        </w:tc>
      </w:tr>
      <w:tr>
        <w:tc>
          <w:tcPr>
            <w:tcBorders>
              <w:top w:val="none" w:color="FFFFFF" w:sz="0"/>
              <w:left w:val="single" w:color="FECACA" w:sz="1"/>
              <w:bottom w:val="none" w:color="FFFFFF" w:sz="0"/>
              <w:right w:val="single" w:color="FECACA" w:sz="1"/>
            </w:tcBorders>
            <w:shd w:fill="FEF2F2"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Attempting to restore from backups before containing the spread risks re-infection of restored systems.</w:t>
            </w:r>
          </w:p>
        </w:tc>
      </w:tr>
      <w:tr>
        <w:tc>
          <w:tcPr>
            <w:tcBorders>
              <w:top w:val="none" w:color="FFFFFF" w:sz="0"/>
              <w:left w:val="single" w:color="FECACA" w:sz="1"/>
              <w:bottom w:val="single" w:color="FECACA" w:sz="1"/>
              <w:right w:val="single" w:color="FECACA" w:sz="1"/>
            </w:tcBorders>
            <w:shd w:fill="FEF2F2" w:val="clear"/>
            <w:tcMar>
              <w:top w:type="dxa" w:w="60"/>
              <w:left w:type="dxa" w:w="160"/>
              <w:bottom w:type="dxa" w:w="0"/>
              <w:right w:type="dxa" w:w="160"/>
            </w:tcMar>
          </w:tcPr>
          <w:p>
            <w:pPr>
              <w:spacing w:before="0" w:after="0"/>
            </w:pPr>
            <w:r>
              <w:t xml:space="preserve"/>
            </w:r>
          </w:p>
        </w:tc>
      </w:tr>
    </w:tbl>
    <w:p>
      <w:r>
        <w:br w:type="page"/>
      </w:r>
    </w:p>
    <w:p>
      <w:pPr>
        <w:pStyle w:val="Heading1"/>
        <w:pBdr>
          <w:bottom w:val="single" w:color="1A3A6B" w:sz="8" w:space="6"/>
        </w:pBdr>
        <w:spacing w:before="360" w:after="160"/>
      </w:pPr>
      <w:r>
        <w:rPr>
          <w:rFonts w:ascii="Arial" w:cs="Arial" w:eastAsia="Arial" w:hAnsi="Arial"/>
          <w:b/>
          <w:bCs/>
          <w:color w:val="1A3A6B"/>
          <w:sz w:val="36"/>
          <w:szCs w:val="36"/>
        </w:rPr>
        <w:t xml:space="preserve">Cross-Domain Exam Traps &amp; High-Frequency Distinctions</w:t>
      </w:r>
    </w:p>
    <w:p>
      <w:pPr>
        <w:pStyle w:val="Heading2"/>
        <w:spacing w:before="280" w:after="120"/>
      </w:pPr>
      <w:r>
        <w:rPr>
          <w:rFonts w:ascii="Arial" w:cs="Arial" w:eastAsia="Arial" w:hAnsi="Arial"/>
          <w:b/>
          <w:bCs/>
          <w:color w:val="1A3A6B"/>
          <w:sz w:val="28"/>
          <w:szCs w:val="28"/>
        </w:rPr>
        <w:t xml:space="preserve">The 'FIRST' Question Pattern</w:t>
      </w:r>
    </w:p>
    <w:p>
      <w:pPr>
        <w:spacing w:before="60" w:after="60"/>
      </w:pPr>
      <w:r>
        <w:rPr>
          <w:rFonts w:ascii="Arial" w:cs="Arial" w:eastAsia="Arial" w:hAnsi="Arial"/>
          <w:color w:val="374151"/>
          <w:sz w:val="20"/>
          <w:szCs w:val="20"/>
        </w:rPr>
        <w:t xml:space="preserve">Many CISM questions ask what the candidate should do FIRST. There is almost always a pattern to these answers: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Context</w:t>
            </w:r>
          </w:p>
        </w:tc>
        <w:tc>
          <w:tcPr>
            <w:tcW w:type="dxa" w:w="320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The 'First' Answer</w:t>
            </w:r>
          </w:p>
        </w:tc>
        <w:tc>
          <w:tcPr>
            <w:tcW w:type="dxa" w:w="3360"/>
            <w:tcBorders>
              <w:top w:val="single" w:color="D1D5DB" w:sz="1"/>
              <w:left w:val="single" w:color="D1D5DB" w:sz="1"/>
              <w:bottom w:val="single" w:color="D1D5DB" w:sz="1"/>
              <w:right w:val="single" w:color="D1D5DB" w:sz="1"/>
            </w:tcBorders>
            <w:shd w:fill="1A3A6B" w:val="clear"/>
            <w:tcMar>
              <w:top w:type="dxa" w:w="80"/>
              <w:left w:type="dxa" w:w="100"/>
              <w:bottom w:type="dxa" w:w="80"/>
              <w:right w:type="dxa" w:w="100"/>
            </w:tcMar>
          </w:tcPr>
          <w:p>
            <w:r>
              <w:rPr>
                <w:rFonts w:ascii="Arial" w:cs="Arial" w:eastAsia="Arial" w:hAnsi="Arial"/>
                <w:b/>
                <w:bCs/>
                <w:color w:val="FFFFFF"/>
                <w:sz w:val="19"/>
                <w:szCs w:val="19"/>
              </w:rPr>
              <w:t xml:space="preserve">Why</w:t>
            </w:r>
          </w:p>
        </w:tc>
      </w:tr>
      <w:tr>
        <w:tc>
          <w:tcPr>
            <w:tcW w:type="dxa" w:w="2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Building a security programme</w:t>
            </w:r>
          </w:p>
        </w:tc>
        <w:tc>
          <w:tcPr>
            <w:tcW w:type="dxa" w:w="3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Current-state assessment / gap analysis</w:t>
            </w:r>
          </w:p>
        </w:tc>
        <w:tc>
          <w:tcPr>
            <w:tcW w:type="dxa" w:w="3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You must know where you are before planning where to go</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Building a security strategy</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Understand the business strategy and objectives</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Security must align to business direction</w:t>
            </w:r>
          </w:p>
        </w:tc>
      </w:tr>
      <w:tr>
        <w:tc>
          <w:tcPr>
            <w:tcW w:type="dxa" w:w="2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Responding to an incident</w:t>
            </w:r>
          </w:p>
        </w:tc>
        <w:tc>
          <w:tcPr>
            <w:tcW w:type="dxa" w:w="3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Contain the incident</w:t>
            </w:r>
          </w:p>
        </w:tc>
        <w:tc>
          <w:tcPr>
            <w:tcW w:type="dxa" w:w="3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Stop further damage before diagnosing or recovering</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A major vulnerability is found</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Assess risk and business impact</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Prioritisation requires context, not immediate remediation</w:t>
            </w:r>
          </w:p>
        </w:tc>
      </w:tr>
      <w:tr>
        <w:tc>
          <w:tcPr>
            <w:tcW w:type="dxa" w:w="2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 vendor contract is being drafted</w:t>
            </w:r>
          </w:p>
        </w:tc>
        <w:tc>
          <w:tcPr>
            <w:tcW w:type="dxa" w:w="3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Define security requirements</w:t>
            </w:r>
          </w:p>
        </w:tc>
        <w:tc>
          <w:tcPr>
            <w:tcW w:type="dxa" w:w="3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Requirements must be established before the contract, not after</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A new system is being deployed</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Conduct a security architecture review</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Security baked in at design, not bolted on at the end</w:t>
            </w:r>
          </w:p>
        </w:tc>
      </w:tr>
      <w:tr>
        <w:tc>
          <w:tcPr>
            <w:tcW w:type="dxa" w:w="2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Establishing incident response capability</w:t>
            </w:r>
          </w:p>
        </w:tc>
        <w:tc>
          <w:tcPr>
            <w:tcW w:type="dxa" w:w="3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Develop and document the IRP</w:t>
            </w:r>
          </w:p>
        </w:tc>
        <w:tc>
          <w:tcPr>
            <w:tcW w:type="dxa" w:w="3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The plan must exist before the team or the tools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Starting a risk assessment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Identify and value assets</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You cannot assess risk without knowing what you're protecting</w:t>
            </w:r>
          </w:p>
        </w:tc>
      </w:tr>
    </w:tbl>
    <w:p>
      <w:pPr>
        <w:spacing w:before="120" w:after="0"/>
      </w:pPr>
      <w:r>
        <w:t xml:space="preserve"/>
      </w:r>
    </w:p>
    <w:p>
      <w:pPr>
        <w:pStyle w:val="Heading2"/>
        <w:spacing w:before="280" w:after="120"/>
      </w:pPr>
      <w:r>
        <w:rPr>
          <w:rFonts w:ascii="Arial" w:cs="Arial" w:eastAsia="Arial" w:hAnsi="Arial"/>
          <w:b/>
          <w:bCs/>
          <w:color w:val="1A3A6B"/>
          <w:sz w:val="28"/>
          <w:szCs w:val="28"/>
        </w:rPr>
        <w:t xml:space="preserve">Commonly Confused Term Pairs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 A</w:t>
            </w:r>
          </w:p>
        </w:tc>
        <w:tc>
          <w:tcPr>
            <w:tcW w:type="dxa" w:w="468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 B</w:t>
            </w:r>
          </w:p>
        </w:tc>
      </w:tr>
      <w:tr>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Policy: what MUST be done (mandatory)</w:t>
            </w:r>
          </w:p>
        </w:tc>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Guideline: what is RECOMMENDED (optional)</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Standard: specific mandatory requirements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Baseline: minimum acceptable security level</w:t>
            </w:r>
          </w:p>
        </w:tc>
      </w:tr>
      <w:tr>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Due Care: taking reasonable protective steps</w:t>
            </w:r>
          </w:p>
        </w:tc>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Due Diligence: verifying those steps actually work</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Threat: potential cause of harm</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Vulnerability: weakness that can be exploited</w:t>
            </w:r>
          </w:p>
        </w:tc>
      </w:tr>
      <w:tr>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Threat Actor: the entity carrying out the threat</w:t>
            </w:r>
          </w:p>
        </w:tc>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Threat: the action or event itself (e.g. ransomware)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KPI: measures how well activities are performed</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KGI: measures whether goals have been achieved</w:t>
            </w:r>
          </w:p>
        </w:tc>
      </w:tr>
      <w:tr>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KRI: early warning indicator of increasing risk</w:t>
            </w:r>
          </w:p>
        </w:tc>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KPI: measures current performance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SOC 2 Type I: control design at a point in time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SOC 2 Type II: control effectiveness over a period</w:t>
            </w:r>
          </w:p>
        </w:tc>
      </w:tr>
      <w:tr>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Qualitative: High/Med/Low ratings (subjective)</w:t>
            </w:r>
          </w:p>
        </w:tc>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Quantitative: monetary figures using ALE/SLE/ARO</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Risk Transfer: shifts financial liability</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Risk Avoidance: eliminates the risk entirely</w:t>
            </w:r>
          </w:p>
        </w:tc>
      </w:tr>
      <w:tr>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Residual Risk: risk after controls</w:t>
            </w:r>
          </w:p>
        </w:tc>
        <w:tc>
          <w:tcPr>
            <w:tcW w:type="dxa" w:w="468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374151"/>
                <w:sz w:val="19"/>
                <w:szCs w:val="19"/>
              </w:rPr>
              <w:t xml:space="preserve">Inherent Risk: risk before controls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Awareness: knowing threats exist</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Training: knowing how to handle threats</w:t>
            </w:r>
          </w:p>
        </w:tc>
      </w:tr>
    </w:tbl>
    <w:p>
      <w:pPr>
        <w:spacing w:before="120" w:after="0"/>
      </w:pPr>
      <w:r>
        <w:t xml:space="preserve"/>
      </w:r>
    </w:p>
    <w:p>
      <w:pPr>
        <w:pStyle w:val="Heading2"/>
        <w:spacing w:before="280" w:after="120"/>
      </w:pPr>
      <w:r>
        <w:rPr>
          <w:rFonts w:ascii="Arial" w:cs="Arial" w:eastAsia="Arial" w:hAnsi="Arial"/>
          <w:b/>
          <w:bCs/>
          <w:color w:val="1A3A6B"/>
          <w:sz w:val="28"/>
          <w:szCs w:val="28"/>
        </w:rPr>
        <w:t xml:space="preserve">The Risk Decision Authority Rule</w:t>
      </w:r>
    </w:p>
    <w:p>
      <w:pPr>
        <w:spacing w:before="60" w:after="60"/>
      </w:pPr>
      <w:r>
        <w:rPr>
          <w:rFonts w:ascii="Arial" w:cs="Arial" w:eastAsia="Arial" w:hAnsi="Arial"/>
          <w:color w:val="374151"/>
          <w:sz w:val="20"/>
          <w:szCs w:val="20"/>
        </w:rPr>
        <w:t xml:space="preserve">This is tested repeatedly across all four domains. Memorise this hierarchy — it never changes.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DBFE" w:sz="1"/>
              <w:left w:val="single" w:color="BFDBFE" w:sz="1"/>
              <w:bottom w:val="single" w:color="BFDBFE" w:sz="1"/>
              <w:right w:val="single" w:color="BFDBFE" w:sz="1"/>
            </w:tcBorders>
            <w:shd w:fill="EFF6FF" w:val="clear"/>
            <w:tcMar>
              <w:top w:type="dxa" w:w="100"/>
              <w:left w:type="dxa" w:w="160"/>
              <w:bottom w:type="dxa" w:w="60"/>
              <w:right w:type="dxa" w:w="160"/>
            </w:tcMar>
          </w:tcPr>
          <w:p>
            <w:pPr>
              <w:spacing w:before="0" w:after="80"/>
            </w:pPr>
            <w:r>
              <w:rPr>
                <w:rFonts w:ascii="Arial" w:cs="Arial" w:eastAsia="Arial" w:hAnsi="Arial"/>
                <w:b/>
                <w:bCs/>
                <w:caps/>
                <w:color w:val="1A3A6B"/>
                <w:sz w:val="18"/>
                <w:szCs w:val="18"/>
              </w:rPr>
              <w:t xml:space="preserve">WHO MAKES WHICH RISK DECISION</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BOARD / SENIOR MANAGEMENT: approve risk appetite, accept high residual risks, approve security policy</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BUSINESS OWNER / DATA OWNER: accept residual risk for their specific assets and processes</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CISM / CISO: recommend risk treatment, develop policies, manage the programme — NOT final decision-maker</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IT / SECURITY TEAM: implement controls as directed — NOT risk acceptance authority</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LEGAL / COMPLIANCE: advise on regulatory requirements — NOT risk acceptance authority</w:t>
            </w:r>
          </w:p>
        </w:tc>
      </w:tr>
      <w:tr>
        <w:tc>
          <w:tcPr>
            <w:tcBorders>
              <w:top w:val="none" w:color="FFFFFF" w:sz="0"/>
              <w:left w:val="single" w:color="BFDBFE" w:sz="1"/>
              <w:bottom w:val="single" w:color="BFDBFE" w:sz="1"/>
              <w:right w:val="single" w:color="BFDBFE" w:sz="1"/>
            </w:tcBorders>
            <w:shd w:fill="EFF6FF" w:val="clear"/>
            <w:tcMar>
              <w:top w:type="dxa" w:w="60"/>
              <w:left w:type="dxa" w:w="160"/>
              <w:bottom w:type="dxa" w:w="0"/>
              <w:right w:type="dxa" w:w="160"/>
            </w:tcMar>
          </w:tcPr>
          <w:p>
            <w:pPr>
              <w:spacing w:before="0" w:after="0"/>
            </w:pPr>
            <w:r>
              <w:t xml:space="preserve"/>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6EFAC" w:sz="1"/>
              <w:left w:val="single" w:color="86EFAC" w:sz="1"/>
              <w:bottom w:val="single" w:color="86EFAC" w:sz="1"/>
              <w:right w:val="single" w:color="86EFAC" w:sz="1"/>
            </w:tcBorders>
            <w:shd w:fill="F0FDF4" w:val="clear"/>
            <w:tcMar>
              <w:top w:type="dxa" w:w="100"/>
              <w:left w:type="dxa" w:w="160"/>
              <w:bottom w:type="dxa" w:w="60"/>
              <w:right w:type="dxa" w:w="160"/>
            </w:tcMar>
          </w:tcPr>
          <w:p>
            <w:pPr>
              <w:spacing w:before="0" w:after="80"/>
            </w:pPr>
            <w:r>
              <w:rPr>
                <w:rFonts w:ascii="Arial" w:cs="Arial" w:eastAsia="Arial" w:hAnsi="Arial"/>
                <w:b/>
                <w:bCs/>
                <w:caps/>
                <w:color w:val="14532D"/>
                <w:sz w:val="18"/>
                <w:szCs w:val="18"/>
              </w:rPr>
              <w:t xml:space="preserve">THE GOLDEN RULE</w:t>
            </w:r>
          </w:p>
        </w:tc>
      </w:tr>
      <w:tr>
        <w:tc>
          <w:tcPr>
            <w:tcBorders>
              <w:top w:val="none" w:color="FFFFFF" w:sz="0"/>
              <w:left w:val="single" w:color="86EFAC" w:sz="1"/>
              <w:bottom w:val="none" w:color="FFFFFF" w:sz="0"/>
              <w:right w:val="single" w:color="86EFAC" w:sz="1"/>
            </w:tcBorders>
            <w:shd w:fill="F0FDF4"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Risk acceptance is ALWAYS a business decision. If the question offers an answer where the CISM or security team accepts risk, it is almost certainly wrong.</w:t>
            </w:r>
          </w:p>
        </w:tc>
      </w:tr>
      <w:tr>
        <w:tc>
          <w:tcPr>
            <w:tcBorders>
              <w:top w:val="none" w:color="FFFFFF" w:sz="0"/>
              <w:left w:val="single" w:color="86EFAC" w:sz="1"/>
              <w:bottom w:val="none" w:color="FFFFFF" w:sz="0"/>
              <w:right w:val="single" w:color="86EFAC" w:sz="1"/>
            </w:tcBorders>
            <w:shd w:fill="F0FDF4"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This rule holds across outsourcing, third-party arrangements, system decommissions, and operational exceptions.</w:t>
            </w:r>
          </w:p>
        </w:tc>
      </w:tr>
      <w:tr>
        <w:tc>
          <w:tcPr>
            <w:tcBorders>
              <w:top w:val="none" w:color="FFFFFF" w:sz="0"/>
              <w:left w:val="single" w:color="86EFAC" w:sz="1"/>
              <w:bottom w:val="single" w:color="86EFAC" w:sz="1"/>
              <w:right w:val="single" w:color="86EFAC" w:sz="1"/>
            </w:tcBorders>
            <w:shd w:fill="F0FDF4" w:val="clear"/>
            <w:tcMar>
              <w:top w:type="dxa" w:w="60"/>
              <w:left w:type="dxa" w:w="160"/>
              <w:bottom w:type="dxa" w:w="0"/>
              <w:right w:type="dxa" w:w="160"/>
            </w:tcMar>
          </w:tcPr>
          <w:p>
            <w:pPr>
              <w:spacing w:before="0" w:after="0"/>
            </w:pPr>
            <w:r>
              <w:t xml:space="preserve"/>
            </w:r>
          </w:p>
        </w:tc>
      </w:tr>
    </w:tbl>
    <w:p>
      <w:pPr>
        <w:spacing w:before="120" w:after="0"/>
      </w:pPr>
      <w:r>
        <w:t xml:space="preserve"/>
      </w:r>
    </w:p>
    <w:p>
      <w:r>
        <w:br w:type="page"/>
      </w:r>
    </w:p>
    <w:p>
      <w:pPr>
        <w:pStyle w:val="Heading1"/>
        <w:pBdr>
          <w:bottom w:val="single" w:color="1A3A6B" w:sz="8" w:space="6"/>
        </w:pBdr>
        <w:spacing w:before="360" w:after="160"/>
      </w:pPr>
      <w:r>
        <w:rPr>
          <w:rFonts w:ascii="Arial" w:cs="Arial" w:eastAsia="Arial" w:hAnsi="Arial"/>
          <w:b/>
          <w:bCs/>
          <w:color w:val="1A3A6B"/>
          <w:sz w:val="36"/>
          <w:szCs w:val="36"/>
        </w:rPr>
        <w:t xml:space="preserve">Quick-Reference Revision Summary</w:t>
      </w:r>
    </w:p>
    <w:p>
      <w:pPr>
        <w:pStyle w:val="Heading2"/>
        <w:spacing w:before="280" w:after="120"/>
      </w:pPr>
      <w:r>
        <w:rPr>
          <w:rFonts w:ascii="Arial" w:cs="Arial" w:eastAsia="Arial" w:hAnsi="Arial"/>
          <w:b/>
          <w:bCs/>
          <w:color w:val="1A3A6B"/>
          <w:sz w:val="28"/>
          <w:szCs w:val="28"/>
        </w:rPr>
        <w:t xml:space="preserve">Formulas to Memorise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EFF6FF" w:val="clear"/>
            <w:tcMar>
              <w:top w:type="dxa" w:w="100"/>
              <w:left w:type="dxa" w:w="200"/>
              <w:bottom w:type="dxa" w:w="100"/>
              <w:right w:type="dxa" w:w="200"/>
            </w:tcMar>
          </w:tcPr>
          <w:p>
            <w:pPr>
              <w:spacing w:before="40" w:after="40"/>
              <w:jc w:val="center"/>
            </w:pPr>
            <w:r>
              <w:rPr>
                <w:rFonts w:ascii="Courier New" w:cs="Courier New" w:eastAsia="Courier New" w:hAnsi="Courier New"/>
                <w:b/>
                <w:bCs/>
                <w:color w:val="1E40AF"/>
                <w:sz w:val="24"/>
                <w:szCs w:val="24"/>
              </w:rPr>
              <w:t xml:space="preserve">SLE = Asset Value × Exposure Factor  |  ALE = SLE × ARO  |  RTO + WRT ≤ MTD</w:t>
            </w:r>
          </w:p>
          <w:p>
            <w:pPr>
              <w:spacing w:before="0" w:after="40"/>
              <w:jc w:val="center"/>
            </w:pPr>
            <w:r>
              <w:rPr>
                <w:rFonts w:ascii="Arial" w:cs="Arial" w:eastAsia="Arial" w:hAnsi="Arial"/>
                <w:i/>
                <w:iCs/>
                <w:color w:val="374151"/>
                <w:sz w:val="18"/>
                <w:szCs w:val="18"/>
              </w:rPr>
              <w:t xml:space="preserve">The three essential CISM calculations</w:t>
            </w:r>
          </w:p>
        </w:tc>
      </w:tr>
    </w:tbl>
    <w:p>
      <w:pPr>
        <w:spacing w:before="100" w:after="0"/>
      </w:pPr>
      <w:r>
        <w:t xml:space="preserve"/>
      </w:r>
    </w:p>
    <w:p>
      <w:pPr>
        <w:pStyle w:val="Heading2"/>
        <w:spacing w:before="280" w:after="120"/>
      </w:pPr>
      <w:r>
        <w:rPr>
          <w:rFonts w:ascii="Arial" w:cs="Arial" w:eastAsia="Arial" w:hAnsi="Arial"/>
          <w:b/>
          <w:bCs/>
          <w:color w:val="1A3A6B"/>
          <w:sz w:val="28"/>
          <w:szCs w:val="28"/>
        </w:rPr>
        <w:t xml:space="preserve">The Definitive Sequence Rules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DBFE" w:sz="1"/>
              <w:left w:val="single" w:color="BFDBFE" w:sz="1"/>
              <w:bottom w:val="single" w:color="BFDBFE" w:sz="1"/>
              <w:right w:val="single" w:color="BFDBFE" w:sz="1"/>
            </w:tcBorders>
            <w:shd w:fill="EFF6FF" w:val="clear"/>
            <w:tcMar>
              <w:top w:type="dxa" w:w="100"/>
              <w:left w:type="dxa" w:w="160"/>
              <w:bottom w:type="dxa" w:w="60"/>
              <w:right w:type="dxa" w:w="160"/>
            </w:tcMar>
          </w:tcPr>
          <w:p>
            <w:pPr>
              <w:spacing w:before="0" w:after="80"/>
            </w:pPr>
            <w:r>
              <w:rPr>
                <w:rFonts w:ascii="Arial" w:cs="Arial" w:eastAsia="Arial" w:hAnsi="Arial"/>
                <w:b/>
                <w:bCs/>
                <w:caps/>
                <w:color w:val="1A3A6B"/>
                <w:sz w:val="18"/>
                <w:szCs w:val="18"/>
              </w:rPr>
              <w:t xml:space="preserve">ORDER OF OPERATIONS — NEVER GET THESE WRONG</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Risk Management: Identify assets → Identify threats → Assess risk → Select controls → Accept residual risk</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Programme Building: Current state assessment → Gap analysis → Strategy → Framework → Roadmap → Implement</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Incident Response: Prepare → Detect → CONTAIN → Eradicate → Recover → Learn</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BCP/DRP Planning: BIA first → Risk assessment → BCP development → DRP development → Test</w:t>
            </w:r>
          </w:p>
        </w:tc>
      </w:tr>
      <w:tr>
        <w:tc>
          <w:tcPr>
            <w:tcBorders>
              <w:top w:val="none" w:color="FFFFFF" w:sz="0"/>
              <w:left w:val="single" w:color="BFDBFE" w:sz="1"/>
              <w:bottom w:val="none" w:color="FFFFFF" w:sz="0"/>
              <w:right w:val="single" w:color="BFDBFE" w:sz="1"/>
            </w:tcBorders>
            <w:shd w:fill="EFF6FF"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System Deployment: Requirements → Architecture review → Risk assessment → Controls → Deployment → Monitor</w:t>
            </w:r>
          </w:p>
        </w:tc>
      </w:tr>
      <w:tr>
        <w:tc>
          <w:tcPr>
            <w:tcBorders>
              <w:top w:val="none" w:color="FFFFFF" w:sz="0"/>
              <w:left w:val="single" w:color="BFDBFE" w:sz="1"/>
              <w:bottom w:val="single" w:color="BFDBFE" w:sz="1"/>
              <w:right w:val="single" w:color="BFDBFE" w:sz="1"/>
            </w:tcBorders>
            <w:shd w:fill="EFF6FF" w:val="clear"/>
            <w:tcMar>
              <w:top w:type="dxa" w:w="60"/>
              <w:left w:type="dxa" w:w="160"/>
              <w:bottom w:type="dxa" w:w="0"/>
              <w:right w:type="dxa" w:w="160"/>
            </w:tcMar>
          </w:tcPr>
          <w:p>
            <w:pPr>
              <w:spacing w:before="0" w:after="0"/>
            </w:pPr>
            <w:r>
              <w:t xml:space="preserve"/>
            </w:r>
          </w:p>
        </w:tc>
      </w:tr>
    </w:tbl>
    <w:p>
      <w:pPr>
        <w:spacing w:before="120" w:after="0"/>
      </w:pPr>
      <w:r>
        <w:t xml:space="preserve"/>
      </w:r>
    </w:p>
    <w:p>
      <w:pPr>
        <w:pStyle w:val="Heading2"/>
        <w:spacing w:before="280" w:after="120"/>
      </w:pPr>
      <w:r>
        <w:rPr>
          <w:rFonts w:ascii="Arial" w:cs="Arial" w:eastAsia="Arial" w:hAnsi="Arial"/>
          <w:b/>
          <w:bCs/>
          <w:color w:val="1A3A6B"/>
          <w:sz w:val="28"/>
          <w:szCs w:val="28"/>
        </w:rPr>
        <w:t xml:space="preserve">Final Exam Strategy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6EFAC" w:sz="1"/>
              <w:left w:val="single" w:color="86EFAC" w:sz="1"/>
              <w:bottom w:val="single" w:color="86EFAC" w:sz="1"/>
              <w:right w:val="single" w:color="86EFAC" w:sz="1"/>
            </w:tcBorders>
            <w:shd w:fill="F0FDF4" w:val="clear"/>
            <w:tcMar>
              <w:top w:type="dxa" w:w="100"/>
              <w:left w:type="dxa" w:w="160"/>
              <w:bottom w:type="dxa" w:w="60"/>
              <w:right w:type="dxa" w:w="160"/>
            </w:tcMar>
          </w:tcPr>
          <w:p>
            <w:pPr>
              <w:spacing w:before="0" w:after="80"/>
            </w:pPr>
            <w:r>
              <w:rPr>
                <w:rFonts w:ascii="Arial" w:cs="Arial" w:eastAsia="Arial" w:hAnsi="Arial"/>
                <w:b/>
                <w:bCs/>
                <w:caps/>
                <w:color w:val="14532D"/>
                <w:sz w:val="18"/>
                <w:szCs w:val="18"/>
              </w:rPr>
              <w:t xml:space="preserve">APPROACH EVERY QUESTION WITH THESE FILTERS</w:t>
            </w:r>
          </w:p>
        </w:tc>
      </w:tr>
      <w:tr>
        <w:tc>
          <w:tcPr>
            <w:tcBorders>
              <w:top w:val="none" w:color="FFFFFF" w:sz="0"/>
              <w:left w:val="single" w:color="86EFAC" w:sz="1"/>
              <w:bottom w:val="none" w:color="FFFFFF" w:sz="0"/>
              <w:right w:val="single" w:color="86EFAC" w:sz="1"/>
            </w:tcBorders>
            <w:shd w:fill="F0FDF4"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1. WHO is asking? A CISM always acts in an advisory, management capacity — not as a technician</w:t>
            </w:r>
          </w:p>
        </w:tc>
      </w:tr>
      <w:tr>
        <w:tc>
          <w:tcPr>
            <w:tcBorders>
              <w:top w:val="none" w:color="FFFFFF" w:sz="0"/>
              <w:left w:val="single" w:color="86EFAC" w:sz="1"/>
              <w:bottom w:val="none" w:color="FFFFFF" w:sz="0"/>
              <w:right w:val="single" w:color="86EFAC" w:sz="1"/>
            </w:tcBorders>
            <w:shd w:fill="F0FDF4"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2. WHAT level? Board = governance and strategy. Management = programme. IT team = operational.</w:t>
            </w:r>
          </w:p>
        </w:tc>
      </w:tr>
      <w:tr>
        <w:tc>
          <w:tcPr>
            <w:tcBorders>
              <w:top w:val="none" w:color="FFFFFF" w:sz="0"/>
              <w:left w:val="single" w:color="86EFAC" w:sz="1"/>
              <w:bottom w:val="none" w:color="FFFFFF" w:sz="0"/>
              <w:right w:val="single" w:color="86EFAC" w:sz="1"/>
            </w:tcBorders>
            <w:shd w:fill="F0FDF4"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3. FIRST or BEST? 'First' questions test sequence. 'Best' questions test strategic alignment.</w:t>
            </w:r>
          </w:p>
        </w:tc>
      </w:tr>
      <w:tr>
        <w:tc>
          <w:tcPr>
            <w:tcBorders>
              <w:top w:val="none" w:color="FFFFFF" w:sz="0"/>
              <w:left w:val="single" w:color="86EFAC" w:sz="1"/>
              <w:bottom w:val="none" w:color="FFFFFF" w:sz="0"/>
              <w:right w:val="single" w:color="86EFAC" w:sz="1"/>
            </w:tcBorders>
            <w:shd w:fill="F0FDF4"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4. Business or technical? When in doubt, the more business-aligned answer is usually correct</w:t>
            </w:r>
          </w:p>
        </w:tc>
      </w:tr>
      <w:tr>
        <w:tc>
          <w:tcPr>
            <w:tcBorders>
              <w:top w:val="none" w:color="FFFFFF" w:sz="0"/>
              <w:left w:val="single" w:color="86EFAC" w:sz="1"/>
              <w:bottom w:val="none" w:color="FFFFFF" w:sz="0"/>
              <w:right w:val="single" w:color="86EFAC" w:sz="1"/>
            </w:tcBorders>
            <w:shd w:fill="F0FDF4"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5. Risk acceptance? The answer is always the business owner or senior management — never the CISM</w:t>
            </w:r>
          </w:p>
        </w:tc>
      </w:tr>
      <w:tr>
        <w:tc>
          <w:tcPr>
            <w:tcBorders>
              <w:top w:val="none" w:color="FFFFFF" w:sz="0"/>
              <w:left w:val="single" w:color="86EFAC" w:sz="1"/>
              <w:bottom w:val="none" w:color="FFFFFF" w:sz="0"/>
              <w:right w:val="single" w:color="86EFAC" w:sz="1"/>
            </w:tcBorders>
            <w:shd w:fill="F0FDF4"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6. Outsourcing eliminates liability — TRUE. Outsourcing eliminates accountability — FALSE.</w:t>
            </w:r>
          </w:p>
        </w:tc>
      </w:tr>
      <w:tr>
        <w:tc>
          <w:tcPr>
            <w:tcBorders>
              <w:top w:val="none" w:color="FFFFFF" w:sz="0"/>
              <w:left w:val="single" w:color="86EFAC" w:sz="1"/>
              <w:bottom w:val="none" w:color="FFFFFF" w:sz="0"/>
              <w:right w:val="single" w:color="86EFAC" w:sz="1"/>
            </w:tcBorders>
            <w:shd w:fill="F0FDF4" w:val="clear"/>
            <w:tcMar>
              <w:top w:type="dxa" w:w="40"/>
              <w:left w:type="dxa" w:w="160"/>
              <w:bottom w:type="dxa" w:w="40"/>
              <w:right w:type="dxa" w:w="160"/>
            </w:tcMar>
          </w:tcPr>
          <w:p>
            <w:pPr>
              <w:pStyle w:val="ListParagraph"/>
              <w:numPr>
                <w:ilvl w:val="0"/>
                <w:numId w:val="2"/>
              </w:numPr>
              <w:spacing w:before="20" w:after="20"/>
            </w:pPr>
            <w:r>
              <w:rPr>
                <w:rFonts w:ascii="Arial" w:cs="Arial" w:eastAsia="Arial" w:hAnsi="Arial"/>
                <w:color w:val="374151"/>
                <w:sz w:val="19"/>
                <w:szCs w:val="19"/>
              </w:rPr>
              <w:t xml:space="preserve">7. Is there a 'current state assessment' or 'align to business strategy' answer? If yes, it's probably correct.</w:t>
            </w:r>
          </w:p>
        </w:tc>
      </w:tr>
      <w:tr>
        <w:tc>
          <w:tcPr>
            <w:tcBorders>
              <w:top w:val="none" w:color="FFFFFF" w:sz="0"/>
              <w:left w:val="single" w:color="86EFAC" w:sz="1"/>
              <w:bottom w:val="single" w:color="86EFAC" w:sz="1"/>
              <w:right w:val="single" w:color="86EFAC" w:sz="1"/>
            </w:tcBorders>
            <w:shd w:fill="F0FDF4" w:val="clear"/>
            <w:tcMar>
              <w:top w:type="dxa" w:w="60"/>
              <w:left w:type="dxa" w:w="160"/>
              <w:bottom w:type="dxa" w:w="0"/>
              <w:right w:type="dxa" w:w="160"/>
            </w:tcMar>
          </w:tcPr>
          <w:p>
            <w:pPr>
              <w:spacing w:before="0" w:after="0"/>
            </w:pPr>
            <w:r>
              <w:t xml:space="preserve"/>
            </w:r>
          </w:p>
        </w:tc>
      </w:tr>
    </w:tbl>
    <w:p>
      <w:pPr>
        <w:spacing w:before="200" w:after="0"/>
      </w:pPr>
      <w:r>
        <w:t xml:space="preserve"/>
      </w:r>
    </w:p>
    <w:p>
      <w:pPr>
        <w:spacing w:before="40" w:after="0"/>
        <w:jc w:val="center"/>
      </w:pPr>
      <w:r>
        <w:rPr>
          <w:rFonts w:ascii="Arial" w:cs="Arial" w:eastAsia="Arial" w:hAnsi="Arial"/>
          <w:i/>
          <w:iCs/>
          <w:color w:val="1A3A6B"/>
          <w:sz w:val="22"/>
          <w:szCs w:val="22"/>
        </w:rPr>
        <w:t xml:space="preserve">Good luck with your CISM examination.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tabs>
        <w:tab w:val="right" w:pos="9026"/>
      </w:tabs>
    </w:pPr>
    <w:r>
      <w:rPr>
        <w:rFonts w:ascii="Arial" w:cs="Arial" w:eastAsia="Arial" w:hAnsi="Arial"/>
        <w:color w:val="9CA3AF"/>
        <w:sz w:val="16"/>
        <w:szCs w:val="16"/>
      </w:rPr>
      <w:t xml:space="preserve">ISACA CISM © Exam Preparation</w:t>
    </w:r>
    <w:r>
      <w:rPr>
        <w:rFonts w:ascii="Arial" w:cs="Arial" w:eastAsia="Arial" w:hAnsi="Arial"/>
        <w:color w:val="9CA3AF"/>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tabs>
        <w:tab w:val="right" w:pos="9026"/>
      </w:tabs>
    </w:pPr>
    <w:r>
      <w:rPr>
        <w:rFonts w:ascii="Arial" w:cs="Arial" w:eastAsia="Arial" w:hAnsi="Arial"/>
        <w:color w:val="9CA3AF"/>
        <w:sz w:val="18"/>
        <w:szCs w:val="18"/>
      </w:rPr>
      <w:t xml:space="preserve">CISM Advanced Study Guide</w:t>
    </w:r>
    <w:r>
      <w:rPr>
        <w:rFonts w:ascii="Arial" w:cs="Arial" w:eastAsia="Arial" w:hAnsi="Arial"/>
        <w:color w:val="9CA3AF"/>
        <w:sz w:val="18"/>
        <w:szCs w:val="18"/>
      </w:rPr>
      <w:t xml:space="preserve">	Certified Information Security Manager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A6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3A6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2026-03-05T00:19:06.606Z</dcterms:created>
  <dcterms:modified xsi:type="dcterms:W3CDTF">2026-03-05T00:19:06.606Z</dcterms:modified>
</cp:coreProperties>
</file>

<file path=docProps/custom.xml><?xml version="1.0" encoding="utf-8"?>
<Properties xmlns="http://schemas.openxmlformats.org/officeDocument/2006/custom-properties" xmlns:vt="http://schemas.openxmlformats.org/officeDocument/2006/docPropsVTypes"/>
</file>