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{court_class}, {district}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{pending_suit_number}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(In re: {pending_suit_title})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{plaintiff_name} {plaintiff_parentage},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Resident of: {plaintiff_address}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... APPLICANT / PLAINTIFF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{defendant_name} {defendant_parentage},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Resident of: {defendant_address}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... RESPONDENT / DEFENDANT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APPLICATION FOR TEMPORARY INJUNCTION UNDER ORDER XXXIX RULES 1 AND 2 OF THE CODE OF CIVIL PROCEDURE, 1908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applicant / plaintiff is {plaintiff_name} {plaintiff_parentage}, resident of {plaintiff_address}, and the respondent / defendant is {defendant_name} {defendant_parentage}, resident of {defendant_address}.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applicant has filed / is prosecuting {pending_suit_number} titled {pending_suit_title} before this Honorable Court.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suit property is situated at {property_address}, measuring {area_measurement}, comprised in Khasra/Khewat/Khata {khasra_khewat}, bounded as under: North — {boundary_north}; South — {boundary_south}; East — {boundary_east}; West — {boundary_west}. The applicant's ownership / title is based on {ownership_basis}.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That the respondent threatens to {threatened_act}.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That the applicant has a strong prima facie case in as much as {prima_facie_case}.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That if the temporary injunction is not granted, the applicant shall suffer irreparable injury, namely {irreparable_injury}.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 That the balance of convenience lies in favour of the applicant because {balance_of_convenience}.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 That the cause of action accrued on {cause_date} when {cause_event}, and continues.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 That this application is made bona fide and in the interest of justice under Order XXXIX Rules 1 and 2 of the Code of Civil Procedure, 1908.</w:t>
      </w:r>
    </w:p>
    <w:p>
      <w:pPr>
        <w:spacing w:after="80"/>
      </w:pP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{case_law_grounds}</w:t>
      </w:r>
    </w:p>
    <w:p>
      <w:pPr>
        <w:spacing w:after="12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a. Restrain the respondent, agents, and servants, by way of temporary injunction under Order XXXIX Rules 1 and 2 CPC, from interfering with the applicant's possession, alienating, transferring, charging, or changing the nature of the suit property pending disposal of the main suit. {relief}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b. {case_law_prayer}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c. Any other relief which this Honorable Court deems fit and proper may also be awarded.</w:t>
      </w:r>
    </w:p>
    <w:p>
      <w:pPr>
        <w:spacing w:after="160"/>
      </w:pP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{lawyer_name}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{legal_counsel_footer}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Generated: {document_generation_date}</w:t>
      </w:r>
    </w:p>
    <w:p>
      <w:pPr>
        <w:spacing w:after="80"/>
      </w:pP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VERIFICATION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Verified on Oath at {district} on this {verification_date}, that the contents of this application are true and correct to the best of my knowledge and belief.</w:t>
      </w:r>
    </w:p>
    <w:p>
      <w:pPr>
        <w:spacing w:after="80"/>
      </w:pP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2026-10-09T16:27:31.687Z</dcterms:created>
  <dcterms:modified xsi:type="dcterms:W3CDTF">2026-10-09T16:27:31.687Z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