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ILLAQA MAGISTRATE / SESSIONS JUDGE,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DISCHARGE OF ACCUSED FROM POLICE CUSTODY (SECTIONS 63 &amp; 167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applicant namely {petitioner_name} is detained in FIR No. {fir_number} dated {fir_date}, Police Station {police_station},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remand anomalies are as under: {remand_anomalies}.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continued police custody is unlawful and liable to be terminated under sections 63 and 167 Cr.P.C.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Discharge / release the applicant from police custody.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Any other relief which this Honorable Court deems fit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police_station, fir_number, fir_date, petitioner_name, remand_anomalies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2026-10-11T02:48:58.938Z</dcterms:created>
  <dcterms:modified xsi:type="dcterms:W3CDTF">2026-10-11T02:48:58.938Z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