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0"/>
        <w:gridCol w:w="7416"/>
      </w:tblGrid>
      <w:tr>
        <w:tc>
          <w:tcPr>
            <w:tcW w:type="dxa" w:w="5184"/>
            <w:tcBorders>
              <w:top w:val="nil"/>
              <w:left w:val="nil"/>
              <w:bottom w:val="nil"/>
              <w:right w:val="nil"/>
            </w:tcBorders>
            <w:vAlign w:val="center"/>
          </w:tcPr>
          <w:p>
            <w:pPr>
              <w:jc w:val="left"/>
            </w:pPr>
            <w:r>
              <w:drawing>
                <wp:inline xmlns:a="http://schemas.openxmlformats.org/drawingml/2006/main" xmlns:pic="http://schemas.openxmlformats.org/drawingml/2006/picture">
                  <wp:extent cx="1737360" cy="483439"/>
                  <wp:docPr id="1" name="Picture 1"/>
                  <wp:cNvGraphicFramePr>
                    <a:graphicFrameLocks noChangeAspect="1"/>
                  </wp:cNvGraphicFramePr>
                  <a:graphic>
                    <a:graphicData uri="http://schemas.openxmlformats.org/drawingml/2006/picture">
                      <pic:pic>
                        <pic:nvPicPr>
                          <pic:cNvPr id="0" name="seed-group-logo.png"/>
                          <pic:cNvPicPr/>
                        </pic:nvPicPr>
                        <pic:blipFill>
                          <a:blip r:embed="rId9"/>
                          <a:stretch>
                            <a:fillRect/>
                          </a:stretch>
                        </pic:blipFill>
                        <pic:spPr>
                          <a:xfrm>
                            <a:off x="0" y="0"/>
                            <a:ext cx="1737360" cy="483439"/>
                          </a:xfrm>
                          <a:prstGeom prst="rect"/>
                        </pic:spPr>
                      </pic:pic>
                    </a:graphicData>
                  </a:graphic>
                </wp:inline>
              </w:drawing>
            </w:r>
          </w:p>
        </w:tc>
        <w:tc>
          <w:tcPr>
            <w:tcW w:type="dxa" w:w="5184"/>
            <w:tcBorders>
              <w:top w:val="nil"/>
              <w:left w:val="nil"/>
              <w:bottom w:val="nil"/>
              <w:right w:val="nil"/>
            </w:tcBorders>
            <w:vAlign w:val="center"/>
          </w:tcPr>
          <w:p>
            <w:pPr>
              <w:jc w:val="right"/>
            </w:pPr>
            <w:r>
              <w:rPr>
                <w:rFonts w:ascii="Calibri" w:hAnsi="Calibri"/>
                <w:b/>
                <w:color w:val="0077B6"/>
                <w:sz w:val="48"/>
              </w:rPr>
              <w:t>Recruitment Proposal</w:t>
            </w:r>
          </w:p>
          <w:p>
            <w:pPr>
              <w:jc w:val="right"/>
            </w:pPr>
            <w:r>
              <w:rPr>
                <w:rFonts w:ascii="Calibri" w:hAnsi="Calibri"/>
                <w:b w:val="0"/>
                <w:color w:val="555555"/>
                <w:sz w:val="22"/>
              </w:rPr>
              <w:t>Call Center &amp; Operations Resources for ibex</w:t>
            </w:r>
          </w:p>
        </w:tc>
      </w:tr>
    </w:tbl>
    <w:tbl>
      <w:tblPr>
        <w:tblW w:type="auto" w:w="0"/>
        <w:jc w:val="center"/>
        <w:tblLook w:firstColumn="1" w:firstRow="1" w:lastColumn="0" w:lastRow="0" w:noHBand="0" w:noVBand="1" w:val="04A0"/>
      </w:tblPr>
      <w:tblGrid>
        <w:gridCol w:w="10368"/>
      </w:tblGrid>
      <w:tr>
        <w:tc>
          <w:tcPr>
            <w:tcW w:type="dxa" w:w="10368"/>
            <w:shd w:fill="0077B6"/>
            <w:tcBorders>
              <w:top w:val="nil"/>
              <w:left w:val="nil"/>
              <w:bottom w:val="nil"/>
              <w:right w:val="nil"/>
            </w:tcBorders>
          </w:tcPr>
          <w:p>
            <w:r/>
          </w:p>
        </w:tc>
      </w:tr>
    </w:tbl>
    <w:tbl>
      <w:tblPr>
        <w:tblW w:type="auto" w:w="0"/>
        <w:jc w:val="center"/>
        <w:tblLayout w:type="autofit"/>
        <w:tblLook w:firstColumn="1" w:firstRow="1" w:lastColumn="0" w:lastRow="0" w:noHBand="0" w:noVBand="1" w:val="04A0"/>
      </w:tblPr>
      <w:tblGrid>
        <w:gridCol w:w="5184"/>
        <w:gridCol w:w="5184"/>
      </w:tblGrid>
      <w:tr>
        <w:tc>
          <w:tcPr>
            <w:tcW w:type="dxa" w:w="5184"/>
            <w:vAlign w:val="center"/>
            <w:tcBorders>
              <w:top w:val="single" w:sz="4" w:color="D9EAF7"/>
              <w:left w:val="single" w:sz="4" w:color="D9EAF7"/>
              <w:bottom w:val="single" w:sz="4" w:color="D9EAF7"/>
              <w:right w:val="single" w:sz="4" w:color="D9EAF7"/>
            </w:tcBorders>
            <w:shd w:fill="EAF6FC"/>
          </w:tcPr>
          <w:p>
            <w:r>
              <w:rPr>
                <w:rFonts w:ascii="Calibri" w:hAnsi="Calibri"/>
                <w:b/>
                <w:color w:val="333333"/>
                <w:sz w:val="19"/>
              </w:rPr>
              <w:t>Prepared for</w:t>
            </w:r>
          </w:p>
        </w:tc>
        <w:tc>
          <w:tcPr>
            <w:tcW w:type="dxa" w:w="5184"/>
            <w:vAlign w:val="center"/>
            <w:tcBorders>
              <w:top w:val="single" w:sz="4" w:color="D9EAF7"/>
              <w:left w:val="single" w:sz="4" w:color="D9EAF7"/>
              <w:bottom w:val="single" w:sz="4" w:color="D9EAF7"/>
              <w:right w:val="single" w:sz="4" w:color="D9EAF7"/>
            </w:tcBorders>
          </w:tcPr>
          <w:p>
            <w:r>
              <w:rPr>
                <w:rFonts w:ascii="Calibri" w:hAnsi="Calibri"/>
                <w:b w:val="0"/>
                <w:color w:val="333333"/>
                <w:sz w:val="19"/>
              </w:rPr>
              <w:t>ibex</w:t>
            </w:r>
          </w:p>
        </w:tc>
      </w:tr>
      <w:tr>
        <w:tc>
          <w:tcPr>
            <w:tcW w:type="dxa" w:w="5184"/>
            <w:vAlign w:val="center"/>
            <w:tcBorders>
              <w:top w:val="single" w:sz="4" w:color="D9EAF7"/>
              <w:left w:val="single" w:sz="4" w:color="D9EAF7"/>
              <w:bottom w:val="single" w:sz="4" w:color="D9EAF7"/>
              <w:right w:val="single" w:sz="4" w:color="D9EAF7"/>
            </w:tcBorders>
            <w:shd w:fill="EAF6FC"/>
          </w:tcPr>
          <w:p>
            <w:r>
              <w:rPr>
                <w:rFonts w:ascii="Calibri" w:hAnsi="Calibri"/>
                <w:b/>
                <w:color w:val="333333"/>
                <w:sz w:val="19"/>
              </w:rPr>
              <w:t>Prepared by</w:t>
            </w:r>
          </w:p>
        </w:tc>
        <w:tc>
          <w:tcPr>
            <w:tcW w:type="dxa" w:w="5184"/>
            <w:vAlign w:val="center"/>
            <w:tcBorders>
              <w:top w:val="single" w:sz="4" w:color="D9EAF7"/>
              <w:left w:val="single" w:sz="4" w:color="D9EAF7"/>
              <w:bottom w:val="single" w:sz="4" w:color="D9EAF7"/>
              <w:right w:val="single" w:sz="4" w:color="D9EAF7"/>
            </w:tcBorders>
          </w:tcPr>
          <w:p>
            <w:r>
              <w:rPr>
                <w:rFonts w:ascii="Calibri" w:hAnsi="Calibri"/>
                <w:b w:val="0"/>
                <w:color w:val="333333"/>
                <w:sz w:val="19"/>
              </w:rPr>
              <w:t>Seed Group | seedgroup-sa.com</w:t>
            </w:r>
          </w:p>
        </w:tc>
      </w:tr>
      <w:tr>
        <w:tc>
          <w:tcPr>
            <w:tcW w:type="dxa" w:w="5184"/>
            <w:vAlign w:val="center"/>
            <w:tcBorders>
              <w:top w:val="single" w:sz="4" w:color="D9EAF7"/>
              <w:left w:val="single" w:sz="4" w:color="D9EAF7"/>
              <w:bottom w:val="single" w:sz="4" w:color="D9EAF7"/>
              <w:right w:val="single" w:sz="4" w:color="D9EAF7"/>
            </w:tcBorders>
            <w:shd w:fill="EAF6FC"/>
          </w:tcPr>
          <w:p>
            <w:r>
              <w:rPr>
                <w:rFonts w:ascii="Calibri" w:hAnsi="Calibri"/>
                <w:b/>
                <w:color w:val="333333"/>
                <w:sz w:val="19"/>
              </w:rPr>
              <w:t>Document purpose</w:t>
            </w:r>
          </w:p>
        </w:tc>
        <w:tc>
          <w:tcPr>
            <w:tcW w:type="dxa" w:w="5184"/>
            <w:vAlign w:val="center"/>
            <w:tcBorders>
              <w:top w:val="single" w:sz="4" w:color="D9EAF7"/>
              <w:left w:val="single" w:sz="4" w:color="D9EAF7"/>
              <w:bottom w:val="single" w:sz="4" w:color="D9EAF7"/>
              <w:right w:val="single" w:sz="4" w:color="D9EAF7"/>
            </w:tcBorders>
          </w:tcPr>
          <w:p>
            <w:r>
              <w:rPr>
                <w:rFonts w:ascii="Calibri" w:hAnsi="Calibri"/>
                <w:b w:val="0"/>
                <w:color w:val="333333"/>
                <w:sz w:val="19"/>
              </w:rPr>
              <w:t>Recruitment support proposal and commercial approval</w:t>
            </w:r>
          </w:p>
        </w:tc>
      </w:tr>
    </w:tbl>
    <w:p/>
    <w:p>
      <w:pPr>
        <w:pStyle w:val="Heading1"/>
      </w:pPr>
      <w:r>
        <w:rPr>
          <w:rFonts w:ascii="Calibri" w:hAnsi="Calibri"/>
          <w:b/>
          <w:color w:val="0077B6"/>
          <w:sz w:val="30"/>
        </w:rPr>
        <w:t>1. Proposal Overview</w:t>
      </w:r>
    </w:p>
    <w:p>
      <w:pPr>
        <w:spacing w:after="140" w:line="259" w:lineRule="auto"/>
      </w:pPr>
      <w:r>
        <w:rPr>
          <w:rFonts w:ascii="Calibri" w:hAnsi="Calibri"/>
          <w:b w:val="0"/>
          <w:color w:val="333333"/>
          <w:sz w:val="21"/>
        </w:rPr>
        <w:t>Seed Group is pleased to submit this recruitment proposal to support ibex with qualified call center and operations resources. Based on the job descriptions shared by ibex, Seed Group will act as the recruitment partner responsible for sourcing, screening, shortlisting, and coordinating suitable candidates for ibex's final evaluation and hiring decision.</w:t>
      </w:r>
    </w:p>
    <w:p>
      <w:pPr>
        <w:spacing w:after="140" w:line="259" w:lineRule="auto"/>
      </w:pPr>
      <w:r>
        <w:rPr>
          <w:rFonts w:ascii="Calibri" w:hAnsi="Calibri"/>
          <w:b w:val="0"/>
          <w:color w:val="333333"/>
          <w:sz w:val="21"/>
        </w:rPr>
        <w:t>The purpose of this proposal is to define the recruitment scope, service approach, commercial terms, and approval section for both parties.</w:t>
      </w:r>
    </w:p>
    <w:p>
      <w:pPr>
        <w:pStyle w:val="Heading1"/>
      </w:pPr>
      <w:r>
        <w:rPr>
          <w:rFonts w:ascii="Calibri" w:hAnsi="Calibri"/>
          <w:b/>
          <w:color w:val="0077B6"/>
          <w:sz w:val="30"/>
        </w:rPr>
        <w:t>2. Recruitment Scope</w:t>
      </w:r>
    </w:p>
    <w:p>
      <w:pPr>
        <w:spacing w:after="140" w:line="259" w:lineRule="auto"/>
      </w:pPr>
      <w:r>
        <w:rPr>
          <w:rFonts w:ascii="Calibri" w:hAnsi="Calibri"/>
          <w:b w:val="0"/>
          <w:color w:val="333333"/>
          <w:sz w:val="21"/>
        </w:rPr>
        <w:t>Seed Group will recruit candidates for the following profiles:</w:t>
      </w:r>
    </w:p>
    <w:p>
      <w:pPr>
        <w:pStyle w:val="ListBullet"/>
        <w:spacing w:after="60"/>
      </w:pPr>
      <w:r>
        <w:rPr>
          <w:rFonts w:ascii="Calibri" w:hAnsi="Calibri"/>
          <w:b w:val="0"/>
          <w:color w:val="333333"/>
          <w:sz w:val="21"/>
        </w:rPr>
        <w:t>Customer Service Representatives - Junior and Senior</w:t>
      </w:r>
    </w:p>
    <w:p>
      <w:pPr>
        <w:pStyle w:val="ListBullet"/>
        <w:spacing w:after="60"/>
      </w:pPr>
      <w:r>
        <w:rPr>
          <w:rFonts w:ascii="Calibri" w:hAnsi="Calibri"/>
          <w:b w:val="0"/>
          <w:color w:val="333333"/>
          <w:sz w:val="21"/>
        </w:rPr>
        <w:t>CDD / KYC Operations Agents - Junior and Senior</w:t>
      </w:r>
    </w:p>
    <w:p>
      <w:pPr>
        <w:pStyle w:val="ListBullet"/>
        <w:spacing w:after="60"/>
      </w:pPr>
      <w:r>
        <w:rPr>
          <w:rFonts w:ascii="Calibri" w:hAnsi="Calibri"/>
          <w:b w:val="0"/>
          <w:color w:val="333333"/>
          <w:sz w:val="21"/>
        </w:rPr>
        <w:t>Quality, Training, and QC Profiles</w:t>
      </w:r>
    </w:p>
    <w:p>
      <w:pPr>
        <w:spacing w:after="140" w:line="259" w:lineRule="auto"/>
      </w:pPr>
      <w:r>
        <w:rPr>
          <w:rFonts w:ascii="Calibri" w:hAnsi="Calibri"/>
          <w:b w:val="0"/>
          <w:color w:val="333333"/>
          <w:sz w:val="21"/>
        </w:rPr>
        <w:t>Candidates will be assessed against the key requirements shared by ibex, including:</w:t>
      </w:r>
    </w:p>
    <w:p>
      <w:pPr>
        <w:pStyle w:val="ListBullet"/>
        <w:spacing w:after="60"/>
      </w:pPr>
      <w:r>
        <w:rPr>
          <w:rFonts w:ascii="Calibri" w:hAnsi="Calibri"/>
          <w:b w:val="0"/>
          <w:color w:val="333333"/>
          <w:sz w:val="21"/>
        </w:rPr>
        <w:t>Relevant customer service, call center, KYC operations, quality, or training experience</w:t>
      </w:r>
    </w:p>
    <w:p>
      <w:pPr>
        <w:pStyle w:val="ListBullet"/>
        <w:spacing w:after="60"/>
      </w:pPr>
      <w:r>
        <w:rPr>
          <w:rFonts w:ascii="Calibri" w:hAnsi="Calibri"/>
          <w:b w:val="0"/>
          <w:color w:val="333333"/>
          <w:sz w:val="21"/>
        </w:rPr>
        <w:t>Professional B2 English proficiency</w:t>
      </w:r>
    </w:p>
    <w:p>
      <w:pPr>
        <w:pStyle w:val="ListBullet"/>
        <w:spacing w:after="60"/>
      </w:pPr>
      <w:r>
        <w:rPr>
          <w:rFonts w:ascii="Calibri" w:hAnsi="Calibri"/>
          <w:b w:val="0"/>
          <w:color w:val="333333"/>
          <w:sz w:val="21"/>
        </w:rPr>
        <w:t>Strong communication and interpersonal skills</w:t>
      </w:r>
    </w:p>
    <w:p>
      <w:pPr>
        <w:pStyle w:val="ListBullet"/>
        <w:spacing w:after="60"/>
      </w:pPr>
      <w:r>
        <w:rPr>
          <w:rFonts w:ascii="Calibri" w:hAnsi="Calibri"/>
          <w:b w:val="0"/>
          <w:color w:val="333333"/>
          <w:sz w:val="21"/>
        </w:rPr>
        <w:t>Ability to work under pressure and accept shift arrangements</w:t>
      </w:r>
    </w:p>
    <w:p>
      <w:pPr>
        <w:pStyle w:val="ListBullet"/>
        <w:spacing w:after="60"/>
      </w:pPr>
      <w:r>
        <w:rPr>
          <w:rFonts w:ascii="Calibri" w:hAnsi="Calibri"/>
          <w:b w:val="0"/>
          <w:color w:val="333333"/>
          <w:sz w:val="21"/>
        </w:rPr>
        <w:t>Customer-oriented mindset, reliability, teamwork, and professionalism</w:t>
      </w:r>
    </w:p>
    <w:p>
      <w:pPr>
        <w:pStyle w:val="ListBullet"/>
        <w:spacing w:after="60"/>
      </w:pPr>
      <w:r>
        <w:rPr>
          <w:rFonts w:ascii="Calibri" w:hAnsi="Calibri"/>
          <w:b w:val="0"/>
          <w:color w:val="333333"/>
          <w:sz w:val="21"/>
        </w:rPr>
        <w:t>Typing proficiency where required for CSR roles</w:t>
      </w:r>
    </w:p>
    <w:p>
      <w:pPr>
        <w:pStyle w:val="Heading1"/>
      </w:pPr>
      <w:r>
        <w:rPr>
          <w:rFonts w:ascii="Calibri" w:hAnsi="Calibri"/>
          <w:b/>
          <w:color w:val="0077B6"/>
          <w:sz w:val="30"/>
        </w:rPr>
        <w:t>3. Seed Group Recruitment Support</w:t>
      </w:r>
    </w:p>
    <w:p>
      <w:pPr>
        <w:spacing w:after="140" w:line="259" w:lineRule="auto"/>
      </w:pPr>
      <w:r>
        <w:rPr>
          <w:rFonts w:ascii="Calibri" w:hAnsi="Calibri"/>
          <w:b w:val="0"/>
          <w:color w:val="333333"/>
          <w:sz w:val="21"/>
        </w:rPr>
        <w:t>Seed Group will provide end-to-end recruitment coordination, including:</w:t>
      </w:r>
    </w:p>
    <w:p>
      <w:pPr>
        <w:pStyle w:val="ListNumber"/>
        <w:spacing w:after="60"/>
      </w:pPr>
      <w:r>
        <w:rPr>
          <w:rFonts w:ascii="Calibri" w:hAnsi="Calibri"/>
          <w:b w:val="0"/>
          <w:color w:val="333333"/>
          <w:sz w:val="21"/>
        </w:rPr>
        <w:t>Understanding ibex's hiring requirements, role expectations, and candidate profile.</w:t>
      </w:r>
    </w:p>
    <w:p>
      <w:pPr>
        <w:pStyle w:val="ListNumber"/>
        <w:spacing w:after="60"/>
      </w:pPr>
      <w:r>
        <w:rPr>
          <w:rFonts w:ascii="Calibri" w:hAnsi="Calibri"/>
          <w:b w:val="0"/>
          <w:color w:val="333333"/>
          <w:sz w:val="21"/>
        </w:rPr>
        <w:t>Sourcing candidates through suitable recruitment channels.</w:t>
      </w:r>
    </w:p>
    <w:p>
      <w:pPr>
        <w:pStyle w:val="ListNumber"/>
        <w:spacing w:after="60"/>
      </w:pPr>
      <w:r>
        <w:rPr>
          <w:rFonts w:ascii="Calibri" w:hAnsi="Calibri"/>
          <w:b w:val="0"/>
          <w:color w:val="333333"/>
          <w:sz w:val="21"/>
        </w:rPr>
        <w:t>Conducting initial screening for experience, communication skills, language proficiency, and role fit.</w:t>
      </w:r>
    </w:p>
    <w:p>
      <w:pPr>
        <w:pStyle w:val="ListNumber"/>
        <w:spacing w:after="60"/>
      </w:pPr>
      <w:r>
        <w:rPr>
          <w:rFonts w:ascii="Calibri" w:hAnsi="Calibri"/>
          <w:b w:val="0"/>
          <w:color w:val="333333"/>
          <w:sz w:val="21"/>
        </w:rPr>
        <w:t>Shortlisting and sharing candidate profiles with ibex.</w:t>
      </w:r>
    </w:p>
    <w:p>
      <w:pPr>
        <w:pStyle w:val="ListNumber"/>
        <w:spacing w:after="60"/>
      </w:pPr>
      <w:r>
        <w:rPr>
          <w:rFonts w:ascii="Calibri" w:hAnsi="Calibri"/>
          <w:b w:val="0"/>
          <w:color w:val="333333"/>
          <w:sz w:val="21"/>
        </w:rPr>
        <w:t>Coordinating interviews, candidate communication, and follow-up until final selection and joining.</w:t>
      </w:r>
    </w:p>
    <w:p>
      <w:pPr>
        <w:pStyle w:val="Heading1"/>
      </w:pPr>
      <w:r>
        <w:rPr>
          <w:rFonts w:ascii="Calibri" w:hAnsi="Calibri"/>
          <w:b/>
          <w:color w:val="0077B6"/>
          <w:sz w:val="30"/>
        </w:rPr>
        <w:t>4. Commercial Terms</w:t>
      </w:r>
    </w:p>
    <w:tbl>
      <w:tblPr>
        <w:tblW w:type="auto" w:w="0"/>
        <w:jc w:val="center"/>
        <w:tblLook w:firstColumn="1" w:firstRow="1" w:lastColumn="0" w:lastRow="0" w:noHBand="0" w:noVBand="1" w:val="04A0"/>
      </w:tblPr>
      <w:tblGrid>
        <w:gridCol w:w="10368"/>
      </w:tblGrid>
      <w:tr>
        <w:tc>
          <w:tcPr>
            <w:tcW w:type="dxa" w:w="10368"/>
            <w:shd w:fill="EAF6FC"/>
            <w:tcBorders>
              <w:top w:val="single" w:sz="12" w:color="0077B6"/>
              <w:left w:val="single" w:sz="12" w:color="0077B6"/>
              <w:bottom w:val="single" w:sz="12" w:color="0077B6"/>
              <w:right w:val="single" w:sz="12" w:color="0077B6"/>
            </w:tcBorders>
          </w:tcPr>
          <w:p>
            <w:pPr>
              <w:jc w:val="center"/>
            </w:pPr>
            <w:r>
              <w:rPr>
                <w:rFonts w:ascii="Calibri" w:hAnsi="Calibri"/>
                <w:b/>
                <w:color w:val="333333"/>
                <w:sz w:val="22"/>
              </w:rPr>
              <w:t xml:space="preserve">Seed Group's recruitment service fee: </w:t>
            </w:r>
            <w:r>
              <w:rPr>
                <w:rFonts w:ascii="Calibri" w:hAnsi="Calibri"/>
                <w:b/>
                <w:color w:val="0077B6"/>
                <w:sz w:val="24"/>
              </w:rPr>
              <w:t>8% of the selected candidate's annual gross salary</w:t>
            </w:r>
          </w:p>
        </w:tc>
      </w:tr>
    </w:tbl>
    <w:p>
      <w:pPr>
        <w:spacing w:after="140" w:line="259" w:lineRule="auto"/>
      </w:pPr>
      <w:r>
        <w:rPr>
          <w:rFonts w:ascii="Calibri" w:hAnsi="Calibri"/>
          <w:b w:val="0"/>
          <w:color w:val="333333"/>
          <w:sz w:val="21"/>
        </w:rPr>
        <w:t>This fee will apply only to candidates successfully selected and hired by ibex through Seed Group recruitment support. The final payable amount will be calculated based on the annual gross salary agreed between ibex and the selected candidate.</w:t>
      </w:r>
    </w:p>
    <w:p>
      <w:pPr>
        <w:pStyle w:val="Heading1"/>
      </w:pPr>
      <w:r>
        <w:rPr>
          <w:rFonts w:ascii="Calibri" w:hAnsi="Calibri"/>
          <w:b/>
          <w:color w:val="0077B6"/>
          <w:sz w:val="30"/>
        </w:rPr>
        <w:t>5. Approval and Acceptance</w:t>
      </w:r>
    </w:p>
    <w:p>
      <w:pPr>
        <w:spacing w:after="140" w:line="259" w:lineRule="auto"/>
      </w:pPr>
      <w:r>
        <w:rPr>
          <w:rFonts w:ascii="Calibri" w:hAnsi="Calibri"/>
          <w:b w:val="0"/>
          <w:color w:val="333333"/>
          <w:sz w:val="21"/>
        </w:rPr>
        <w:t>By signing below, both parties confirm their acceptance of the recruitment scope and commercial terms stated in this proposal.</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0077B6"/>
            <w:tcBorders>
              <w:top w:val="single" w:sz="4" w:color="B7D7EA"/>
              <w:left w:val="single" w:sz="4" w:color="B7D7EA"/>
              <w:bottom w:val="single" w:sz="4" w:color="B7D7EA"/>
              <w:right w:val="single" w:sz="4" w:color="B7D7EA"/>
            </w:tcBorders>
          </w:tcPr>
          <w:p>
            <w:pPr>
              <w:jc w:val="center"/>
            </w:pPr>
            <w:r/>
            <w:r>
              <w:rPr>
                <w:rFonts w:ascii="Calibri" w:hAnsi="Calibri"/>
                <w:b/>
                <w:color w:val="FFFFFF"/>
                <w:sz w:val="21"/>
              </w:rPr>
              <w:t>For Seed Group</w:t>
            </w:r>
          </w:p>
        </w:tc>
        <w:tc>
          <w:tcPr>
            <w:tcW w:type="dxa" w:w="5184"/>
            <w:shd w:fill="0077B6"/>
            <w:tcBorders>
              <w:top w:val="single" w:sz="4" w:color="B7D7EA"/>
              <w:left w:val="single" w:sz="4" w:color="B7D7EA"/>
              <w:bottom w:val="single" w:sz="4" w:color="B7D7EA"/>
              <w:right w:val="single" w:sz="4" w:color="B7D7EA"/>
            </w:tcBorders>
          </w:tcPr>
          <w:p>
            <w:pPr>
              <w:jc w:val="center"/>
            </w:pPr>
            <w:r/>
            <w:r>
              <w:rPr>
                <w:rFonts w:ascii="Calibri" w:hAnsi="Calibri"/>
                <w:b/>
                <w:color w:val="FFFFFF"/>
                <w:sz w:val="21"/>
              </w:rPr>
              <w:t>For ibex</w:t>
            </w:r>
          </w:p>
        </w:tc>
      </w:tr>
      <w:tr>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Name:</w:t>
            </w:r>
            <w:r>
              <w:br/>
              <w:br/>
            </w:r>
            <w:r>
              <w:rPr>
                <w:rFonts w:ascii="Calibri" w:hAnsi="Calibri"/>
                <w:b w:val="0"/>
                <w:color w:val="666666"/>
                <w:sz w:val="19"/>
              </w:rPr>
              <w:t>____________________________</w:t>
            </w:r>
          </w:p>
        </w:tc>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Name:</w:t>
            </w:r>
            <w:r>
              <w:br/>
              <w:br/>
            </w:r>
            <w:r>
              <w:rPr>
                <w:rFonts w:ascii="Calibri" w:hAnsi="Calibri"/>
                <w:b w:val="0"/>
                <w:color w:val="666666"/>
                <w:sz w:val="19"/>
              </w:rPr>
              <w:t>____________________________</w:t>
            </w:r>
          </w:p>
        </w:tc>
      </w:tr>
      <w:tr>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Designation:</w:t>
            </w:r>
            <w:r>
              <w:br/>
              <w:br/>
            </w:r>
            <w:r>
              <w:rPr>
                <w:rFonts w:ascii="Calibri" w:hAnsi="Calibri"/>
                <w:b w:val="0"/>
                <w:color w:val="666666"/>
                <w:sz w:val="19"/>
              </w:rPr>
              <w:t>____________________________</w:t>
            </w:r>
          </w:p>
        </w:tc>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Designation:</w:t>
            </w:r>
            <w:r>
              <w:br/>
              <w:br/>
            </w:r>
            <w:r>
              <w:rPr>
                <w:rFonts w:ascii="Calibri" w:hAnsi="Calibri"/>
                <w:b w:val="0"/>
                <w:color w:val="666666"/>
                <w:sz w:val="19"/>
              </w:rPr>
              <w:t>____________________________</w:t>
            </w:r>
          </w:p>
        </w:tc>
      </w:tr>
      <w:tr>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Signature:</w:t>
            </w:r>
            <w:r>
              <w:br/>
              <w:br/>
            </w:r>
            <w:r>
              <w:rPr>
                <w:rFonts w:ascii="Calibri" w:hAnsi="Calibri"/>
                <w:b w:val="0"/>
                <w:color w:val="666666"/>
                <w:sz w:val="19"/>
              </w:rPr>
              <w:t>____________________________</w:t>
            </w:r>
          </w:p>
        </w:tc>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Signature:</w:t>
            </w:r>
            <w:r>
              <w:br/>
              <w:br/>
            </w:r>
            <w:r>
              <w:rPr>
                <w:rFonts w:ascii="Calibri" w:hAnsi="Calibri"/>
                <w:b w:val="0"/>
                <w:color w:val="666666"/>
                <w:sz w:val="19"/>
              </w:rPr>
              <w:t>____________________________</w:t>
            </w:r>
          </w:p>
        </w:tc>
      </w:tr>
      <w:tr>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Date:</w:t>
            </w:r>
            <w:r>
              <w:br/>
              <w:br/>
            </w:r>
            <w:r>
              <w:rPr>
                <w:rFonts w:ascii="Calibri" w:hAnsi="Calibri"/>
                <w:b w:val="0"/>
                <w:color w:val="666666"/>
                <w:sz w:val="19"/>
              </w:rPr>
              <w:t>____________________________</w:t>
            </w:r>
          </w:p>
        </w:tc>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Date:</w:t>
            </w:r>
            <w:r>
              <w:br/>
              <w:br/>
            </w:r>
            <w:r>
              <w:rPr>
                <w:rFonts w:ascii="Calibri" w:hAnsi="Calibri"/>
                <w:b w:val="0"/>
                <w:color w:val="666666"/>
                <w:sz w:val="19"/>
              </w:rPr>
              <w:t>____________________________</w:t>
            </w:r>
          </w:p>
        </w:tc>
      </w:tr>
      <w:tr>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Company Stamp / Seal:</w:t>
            </w:r>
            <w:r>
              <w:br/>
              <w:br/>
            </w:r>
            <w:r>
              <w:rPr>
                <w:rFonts w:ascii="Calibri" w:hAnsi="Calibri"/>
                <w:b w:val="0"/>
                <w:color w:val="666666"/>
                <w:sz w:val="19"/>
              </w:rPr>
              <w:t>____________________________</w:t>
            </w:r>
          </w:p>
        </w:tc>
        <w:tc>
          <w:tcPr>
            <w:tcW w:type="dxa" w:w="5184"/>
            <w:vAlign w:val="center"/>
            <w:tcBorders>
              <w:top w:val="single" w:sz="4" w:color="B7D7EA"/>
              <w:left w:val="single" w:sz="4" w:color="B7D7EA"/>
              <w:bottom w:val="single" w:sz="4" w:color="B7D7EA"/>
              <w:right w:val="single" w:sz="4" w:color="B7D7EA"/>
            </w:tcBorders>
          </w:tcPr>
          <w:p>
            <w:r/>
            <w:r>
              <w:rPr>
                <w:rFonts w:ascii="Calibri" w:hAnsi="Calibri"/>
                <w:b/>
                <w:color w:val="333333"/>
                <w:sz w:val="19"/>
              </w:rPr>
              <w:t>Company Stamp / Seal:</w:t>
            </w:r>
            <w:r>
              <w:br/>
              <w:br/>
            </w:r>
            <w:r>
              <w:rPr>
                <w:rFonts w:ascii="Calibri" w:hAnsi="Calibri"/>
                <w:b w:val="0"/>
                <w:color w:val="666666"/>
                <w:sz w:val="19"/>
              </w:rPr>
              <w:t>____________________________</w:t>
            </w:r>
          </w:p>
        </w:tc>
      </w:tr>
    </w:tbl>
    <w:p>
      <w:pPr>
        <w:pStyle w:val="Heading1"/>
      </w:pPr>
      <w:r>
        <w:rPr>
          <w:rFonts w:ascii="Calibri" w:hAnsi="Calibri"/>
          <w:b/>
          <w:color w:val="0077B6"/>
          <w:sz w:val="30"/>
        </w:rPr>
        <w:t>6. Next Steps</w:t>
      </w:r>
    </w:p>
    <w:p>
      <w:pPr>
        <w:spacing w:after="140" w:line="259" w:lineRule="auto"/>
      </w:pPr>
      <w:r>
        <w:rPr>
          <w:rFonts w:ascii="Calibri" w:hAnsi="Calibri"/>
          <w:b w:val="0"/>
          <w:color w:val="333333"/>
          <w:sz w:val="21"/>
        </w:rPr>
        <w:t>Upon approval of this proposal, Seed Group will begin sourcing and screening candidates in line with the job descriptions and hiring requirements shared by ibex.</w:t>
      </w:r>
    </w:p>
    <w:sectPr w:rsidR="00FC693F" w:rsidRPr="0006063C" w:rsidSect="00034616">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777777"/>
        <w:sz w:val="16"/>
      </w:rPr>
      <w:t>Seed Group | Recruitment Proposal for ibex</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B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